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Live Oak Acquisition Corp. 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Tenor Capital Management Company,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Tenor Opportunity Master Fund,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Robin Shah</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Live Oak Acquisition Corp. V</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SOUTH MAIN STREET, SUITE 2550 Memphis, Tennessee 38103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Tenor Capital Management Company, L.P. Tenor Opportunity Master Fund, Ltd. Robin Shah</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810 Seventh Avenue, Suite 1905, New York, NY 10019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Tenor Capital Management Company, L.P. - Delaware Tenor Opportunity Master Fund, Ltd. - Cayman Islands Robin Shah - 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Tenor Capital Management Company, L.P. - 0.0% Tenor Opportunity Master Fund, Ltd. - 0.0% Robin Shah - 0.0%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Tenor Capital Management Company, L.P. - 0.0% Tenor Opportunity Master Fund, Ltd. - 0.0% Robin Shah - 0.0%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Tenor Capital Management Company,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Robin Shah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Robin Shah, Managing Member of its general partner, Tenor Management GP, LLC</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Tenor Opportunity Master Fund, Ltd.</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Robin Shah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Robin Shah,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2810" w:type="dxa"/>
        <w:jc w:val="left"/>
        <w:tblInd w:w="0" w:type="dxa"/>
        <w:tblLayout w:type="fixed"/>
        <w:tblCellMar>
          <w:top w:w="28" w:type="dxa"/>
          <w:left w:w="28" w:type="dxa"/>
          <w:bottom w:w="28" w:type="dxa"/>
          <w:right w:w="28" w:type="dxa"/>
        </w:tblCellMar>
      </w:tblPr>
      <w:tblGrid>
        <w:gridCol w:w="1405"/>
        <w:gridCol w:w="1405"/>
      </w:tblGrid>
      <w:tr>
        <w:trPr/>
        <w:tc>
          <w:tcPr>
            <w:tcW w:w="1405" w:type="dxa"/>
            <w:tcBorders/>
            <w:vAlign w:val="center"/>
          </w:tcPr>
          <w:p>
            <w:pPr>
              <w:pStyle w:val="TableContents"/>
              <w:bidi w:val="0"/>
              <w:spacing w:before="0" w:after="0"/>
              <w:jc w:val="left"/>
              <w:rPr/>
            </w:pPr>
            <w:r>
              <w:rPr/>
              <w:t> </w:t>
            </w:r>
          </w:p>
          <w:tbl>
            <w:tblPr>
              <w:tblW w:w="1291" w:type="dxa"/>
              <w:jc w:val="left"/>
              <w:tblInd w:w="0" w:type="dxa"/>
              <w:tblLayout w:type="fixed"/>
              <w:tblCellMar>
                <w:top w:w="28" w:type="dxa"/>
                <w:left w:w="28" w:type="dxa"/>
                <w:bottom w:w="28" w:type="dxa"/>
                <w:right w:w="28" w:type="dxa"/>
              </w:tblCellMar>
            </w:tblPr>
            <w:tblGrid>
              <w:gridCol w:w="1291"/>
            </w:tblGrid>
            <w:tr>
              <w:trPr/>
              <w:tc>
                <w:tcPr>
                  <w:tcW w:w="1291" w:type="dxa"/>
                  <w:tcBorders/>
                  <w:vAlign w:val="center"/>
                </w:tcPr>
                <w:p>
                  <w:pPr>
                    <w:pStyle w:val="TableContents"/>
                    <w:bidi w:val="0"/>
                    <w:spacing w:before="0" w:after="0"/>
                    <w:jc w:val="left"/>
                    <w:rPr/>
                  </w:pPr>
                  <w:r>
                    <w:rPr/>
                    <w:t>Robin Shah</w:t>
                  </w:r>
                </w:p>
              </w:tc>
            </w:tr>
          </w:tbl>
          <w:p>
            <w:pPr>
              <w:pStyle w:val="TableContents"/>
              <w:bidi w:val="0"/>
              <w:spacing w:before="0" w:after="283"/>
              <w:jc w:val="left"/>
              <w:rPr/>
            </w:pPr>
            <w:r>
              <w:rPr/>
            </w:r>
          </w:p>
        </w:tc>
        <w:tc>
          <w:tcPr>
            <w:tcW w:w="14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1"/>
        <w:gridCol w:w="4474"/>
      </w:tblGrid>
      <w:tr>
        <w:trPr/>
        <w:tc>
          <w:tcPr>
            <w:tcW w:w="57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9016"/>
            </w:tblGrid>
            <w:tr>
              <w:trPr/>
              <w:tc>
                <w:tcPr>
                  <w:tcW w:w="1189" w:type="dxa"/>
                  <w:tcBorders/>
                  <w:vAlign w:val="center"/>
                </w:tcPr>
                <w:p>
                  <w:pPr>
                    <w:pStyle w:val="TableContents"/>
                    <w:bidi w:val="0"/>
                    <w:spacing w:before="0" w:after="283"/>
                    <w:jc w:val="left"/>
                    <w:rPr/>
                  </w:pPr>
                  <w:r>
                    <w:rPr/>
                    <w:t>Signature:</w:t>
                  </w:r>
                </w:p>
              </w:tc>
              <w:tc>
                <w:tcPr>
                  <w:tcW w:w="9016" w:type="dxa"/>
                  <w:tcBorders/>
                  <w:vAlign w:val="center"/>
                </w:tcPr>
                <w:p>
                  <w:pPr>
                    <w:pStyle w:val="TableContents"/>
                    <w:bidi w:val="0"/>
                    <w:spacing w:before="0" w:after="283"/>
                    <w:jc w:val="left"/>
                    <w:rPr/>
                  </w:pPr>
                  <w:r>
                    <w:rPr/>
                    <w:t>/s/ Robin Shah</w:t>
                  </w:r>
                </w:p>
              </w:tc>
            </w:tr>
            <w:tr>
              <w:trPr/>
              <w:tc>
                <w:tcPr>
                  <w:tcW w:w="1189" w:type="dxa"/>
                  <w:tcBorders/>
                  <w:vAlign w:val="center"/>
                </w:tcPr>
                <w:p>
                  <w:pPr>
                    <w:pStyle w:val="TableContents"/>
                    <w:bidi w:val="0"/>
                    <w:spacing w:before="0" w:after="283"/>
                    <w:jc w:val="left"/>
                    <w:rPr/>
                  </w:pPr>
                  <w:r>
                    <w:rPr/>
                    <w:t>Name/Title:</w:t>
                  </w:r>
                </w:p>
              </w:tc>
              <w:tc>
                <w:tcPr>
                  <w:tcW w:w="9016" w:type="dxa"/>
                  <w:tcBorders/>
                  <w:vAlign w:val="center"/>
                </w:tcPr>
                <w:p>
                  <w:pPr>
                    <w:pStyle w:val="TableContents"/>
                    <w:bidi w:val="0"/>
                    <w:spacing w:before="0" w:after="283"/>
                    <w:jc w:val="left"/>
                    <w:rPr/>
                  </w:pPr>
                  <w:r>
                    <w:rPr/>
                    <w:t>Robin Shah</w:t>
                  </w:r>
                </w:p>
              </w:tc>
            </w:tr>
            <w:tr>
              <w:trPr/>
              <w:tc>
                <w:tcPr>
                  <w:tcW w:w="1189" w:type="dxa"/>
                  <w:tcBorders/>
                  <w:vAlign w:val="center"/>
                </w:tcPr>
                <w:p>
                  <w:pPr>
                    <w:pStyle w:val="TableContents"/>
                    <w:bidi w:val="0"/>
                    <w:spacing w:before="0" w:after="283"/>
                    <w:jc w:val="left"/>
                    <w:rPr/>
                  </w:pPr>
                  <w:r>
                    <w:rPr/>
                    <w:t>Date:</w:t>
                  </w:r>
                </w:p>
              </w:tc>
              <w:tc>
                <w:tcPr>
                  <w:tcW w:w="901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bookmarkStart w:id="24" w:name="ex1.htm"/>
      <w:bookmarkStart w:id="25" w:name="ksex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w:t>
      </w:r>
    </w:p>
    <w:p>
      <w:pPr>
        <w:pStyle w:val="TextBody"/>
        <w:bidi w:val="0"/>
        <w:spacing w:before="0" w:after="0"/>
        <w:ind w:left="0" w:right="0" w:firstLine="13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consent and agree to the joint filing of Schedule 13G under the Securities Exchange Act of 1934, as amended, with respect to the Shares of Live Oak Acquisition Corp. V together with any or all amendments thereto, when and if required. The parties hereto further consent and agree to file this Joint Filing Statement pursuant to Rule13d-1(k)(1)(iii) as an exhibit to Schedule 13G, thereby incorporating the same into such Schedule 13G.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Statement may be terminated by any of the undersigned upon written notice or such lesser period of notice as the undersigned may mutually agree.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365"/>
        <w:gridCol w:w="8030"/>
      </w:tblGrid>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Tenor Capital Management Company, L.P.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030" w:type="dxa"/>
            <w:tcBorders>
              <w:bottom w:val="single" w:sz="8" w:space="0" w:color="000000"/>
            </w:tcBorders>
            <w:tcMar>
              <w:bottom w:w="28" w:type="dxa"/>
            </w:tcMar>
            <w:vAlign w:val="center"/>
          </w:tcPr>
          <w:p>
            <w:pPr>
              <w:pStyle w:val="TableContents"/>
              <w:bidi w:val="0"/>
              <w:spacing w:before="0" w:after="283"/>
              <w:jc w:val="left"/>
              <w:rPr>
                <w:i/>
              </w:rPr>
            </w:pPr>
            <w:r>
              <w:rPr>
                <w:i/>
              </w:rPr>
              <w:t>/s/ 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Robin Shah, Managing Member of its general partner, Tenor Management GP,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Tenor Opportunity Master Fund,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030" w:type="dxa"/>
            <w:tcBorders>
              <w:bottom w:val="single" w:sz="8" w:space="0" w:color="000000"/>
            </w:tcBorders>
            <w:tcMar>
              <w:bottom w:w="28" w:type="dxa"/>
            </w:tcMar>
            <w:vAlign w:val="center"/>
          </w:tcPr>
          <w:p>
            <w:pPr>
              <w:pStyle w:val="TableContents"/>
              <w:bidi w:val="0"/>
              <w:spacing w:before="0" w:after="283"/>
              <w:jc w:val="left"/>
              <w:rPr>
                <w:i/>
              </w:rPr>
            </w:pPr>
            <w:r>
              <w:rPr>
                <w:i/>
              </w:rPr>
              <w:t>/s/ 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Robin Shah, Authorized Signatory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030" w:type="dxa"/>
            <w:tcBorders>
              <w:bottom w:val="single" w:sz="8" w:space="0" w:color="000000"/>
            </w:tcBorders>
            <w:tcMar>
              <w:bottom w:w="28" w:type="dxa"/>
            </w:tcMar>
            <w:vAlign w:val="center"/>
          </w:tcPr>
          <w:p>
            <w:pPr>
              <w:pStyle w:val="TableContents"/>
              <w:bidi w:val="0"/>
              <w:spacing w:before="0" w:after="283"/>
              <w:jc w:val="left"/>
              <w:rPr>
                <w:i/>
              </w:rPr>
            </w:pPr>
            <w:r>
              <w:rPr>
                <w:i/>
              </w:rPr>
              <w:t>/s/ 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1327</Words>
  <Characters>6703</Characters>
  <CharactersWithSpaces>8005</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