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12,321,052.00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13,492,736.00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13,492,736.00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18.3 %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13492736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18.3  %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12321052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13492736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Investment Management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Investment Management serves as investment adviser. Any and all discretionary authority which has been delegated to Price Investment Management may be revoked in whole or in part at any time. Except as may be indicated if this is a joint filing with one of the registered investment companies sponsored by Price Investment Management which it also serves as investment adviser ("T. Rowe Price Funds"), not more than 5% of the class of such securities is owned by any one client subject to the investment advice of Price Investment Management. (2) [T. ROWE PRICE CAPITAL APPRECIATION FUND ]: T. ROWE PRICE CAPITAL APPRECIATION FUND, of which T. Rowe Price Investment Management, Inc. is the investment adviser, holds the securities reported herein in their investment portfolio managed by T. Rowe Price Investment Management, Inc. and such funds have the right to receive or the power to direct the receipt of dividends from, or the proceeds from the sale of, the securities that they hold. T. ROWE PRICE CAPITAL APPRECIATION FUND has an interest in 11,941,943 of the class reported herein representing 16.2% of the class.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5773</Characters>
  <CharactersWithSpaces>6892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