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TEAMSHARES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001-42540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61-2235506</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214 Sullivan Street, 3B</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New York, NY 10012</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(917) 310-2731</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TMSWW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5" w:lineRule="exact"/>
        <w:rPr>
          <w:sz w:val="20"/>
          <w:szCs w:val="20"/>
          <w:color w:val="auto"/>
        </w:rPr>
      </w:pPr>
    </w:p>
    <w:p>
      <w:pPr>
        <w:jc w:val="both"/>
        <w:ind w:right="560" w:firstLine="440"/>
        <w:spacing w:after="0" w:line="268" w:lineRule="auto"/>
        <w:rPr>
          <w:sz w:val="20"/>
          <w:szCs w:val="20"/>
          <w:color w:val="auto"/>
        </w:rPr>
      </w:pPr>
      <w:r>
        <w:rPr>
          <w:rFonts w:ascii="Times New Roman" w:cs="Times New Roman" w:eastAsia="Times New Roman" w:hAnsi="Times New Roman"/>
          <w:sz w:val="18"/>
          <w:szCs w:val="18"/>
          <w:color w:val="auto"/>
        </w:rPr>
        <w:t>Terms used in this Current Report on Form 8-K (this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but not defined herein, or for which definitions are not otherwise incorporated by reference herein, shall have the meaning given to such terms in the Proxy Statement/Prospectus (as defined below) in the section entitled “</w:t>
      </w:r>
      <w:r>
        <w:rPr>
          <w:rFonts w:ascii="Times New Roman" w:cs="Times New Roman" w:eastAsia="Times New Roman" w:hAnsi="Times New Roman"/>
          <w:sz w:val="18"/>
          <w:szCs w:val="18"/>
          <w:i w:val="1"/>
          <w:iCs w:val="1"/>
          <w:color w:val="auto"/>
        </w:rPr>
        <w:t>Frequently Used Terms</w:t>
      </w:r>
      <w:r>
        <w:rPr>
          <w:rFonts w:ascii="Times New Roman" w:cs="Times New Roman" w:eastAsia="Times New Roman" w:hAnsi="Times New Roman"/>
          <w:sz w:val="18"/>
          <w:szCs w:val="18"/>
          <w:color w:val="auto"/>
        </w:rPr>
        <w:t>” and such definitions are incorporated herein by reference.</w:t>
      </w:r>
    </w:p>
    <w:p>
      <w:pPr>
        <w:spacing w:after="0" w:line="17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incorporates by reference certain information from reports and other documents that were previously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certain information from the Proxy Statement/Prospectus. To the extent there is a conflict between the information contained in this Current Report and the information contained in such prior reports and documents incorporated by reference herein, the information in this Current Report controls.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previously announced, on November 14, 2025, Live Oak Acquisition Corp. V, a Cayman Islands exempted company (“</w:t>
      </w:r>
      <w:r>
        <w:rPr>
          <w:rFonts w:ascii="Times New Roman" w:cs="Times New Roman" w:eastAsia="Times New Roman" w:hAnsi="Times New Roman"/>
          <w:sz w:val="18"/>
          <w:szCs w:val="18"/>
          <w:b w:val="1"/>
          <w:bCs w:val="1"/>
          <w:color w:val="auto"/>
        </w:rPr>
        <w:t>Live Oak</w:t>
      </w:r>
      <w:r>
        <w:rPr>
          <w:rFonts w:ascii="Times New Roman" w:cs="Times New Roman" w:eastAsia="Times New Roman" w:hAnsi="Times New Roman"/>
          <w:sz w:val="18"/>
          <w:szCs w:val="18"/>
          <w:color w:val="auto"/>
        </w:rPr>
        <w:t>”), entered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an Agreement and Plan of Merger (as amended by the First Amendment dated April 1, 2026 and the Second Amendment dated May 13, 2026,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Live Oak, Catalyst Sub Inc., a Delaware corporation and a direct, wholly-owned subsidiary of Live Oak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Catalyst Sub 2 LLC, a Delaware limited liability company and a direct, wholly-owned subsidiary of Live Oak (“</w:t>
      </w:r>
      <w:r>
        <w:rPr>
          <w:rFonts w:ascii="Times New Roman" w:cs="Times New Roman" w:eastAsia="Times New Roman" w:hAnsi="Times New Roman"/>
          <w:sz w:val="18"/>
          <w:szCs w:val="18"/>
          <w:b w:val="1"/>
          <w:bCs w:val="1"/>
          <w:color w:val="auto"/>
        </w:rPr>
        <w:t>Merger Sub II</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renamed “Teamshares LLC” effective at Closing), Live Oak Sponsor V LLC, in its capacity as SPAC Representative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Brian Gaebe,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his capacity as Seller Representative, and Teamshares Inc., a Delaware corporation (“</w:t>
      </w:r>
      <w:r>
        <w:rPr>
          <w:rFonts w:ascii="Times New Roman" w:cs="Times New Roman" w:eastAsia="Times New Roman" w:hAnsi="Times New Roman"/>
          <w:sz w:val="18"/>
          <w:szCs w:val="18"/>
          <w:b w:val="1"/>
          <w:bCs w:val="1"/>
          <w:color w:val="auto"/>
        </w:rPr>
        <w:t>Legacy Teamshares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On June 18, 2026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as contemplated by the Merger Agreement and described in the section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(Proposal 1)</w:t>
      </w:r>
      <w:r>
        <w:rPr>
          <w:rFonts w:ascii="Times New Roman" w:cs="Times New Roman" w:eastAsia="Times New Roman" w:hAnsi="Times New Roman"/>
          <w:sz w:val="18"/>
          <w:szCs w:val="18"/>
          <w:color w:val="auto"/>
        </w:rPr>
        <w:t>” of the definitive proxy statement and final prospectus, dated May 27, 2026 (the “</w:t>
      </w:r>
      <w:r>
        <w:rPr>
          <w:rFonts w:ascii="Times New Roman" w:cs="Times New Roman" w:eastAsia="Times New Roman" w:hAnsi="Times New Roman"/>
          <w:sz w:val="18"/>
          <w:szCs w:val="18"/>
          <w:b w:val="1"/>
          <w:bCs w:val="1"/>
          <w:color w:val="auto"/>
        </w:rPr>
        <w:t>Proxy Statement/Prospectus</w:t>
      </w:r>
      <w:r>
        <w:rPr>
          <w:rFonts w:ascii="Times New Roman" w:cs="Times New Roman" w:eastAsia="Times New Roman" w:hAnsi="Times New Roman"/>
          <w:sz w:val="18"/>
          <w:szCs w:val="18"/>
          <w:color w:val="auto"/>
        </w:rPr>
        <w:t>”) and filed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(File No. 333-294869), Live Oak, Merger Sub, Merger Sub II and Legacy Teamshares consummated the transactions contemplated by the Merger Agreement and its related agreements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culminating in (i) Live Oak de-registering from the Register of Companies in the Cayman Islands and transferring by way of continuation out of the Cayman Islands and into the State of Delaware so as to become a Delaware corporation (the “</w:t>
      </w:r>
      <w:r>
        <w:rPr>
          <w:rFonts w:ascii="Times New Roman" w:cs="Times New Roman" w:eastAsia="Times New Roman" w:hAnsi="Times New Roman"/>
          <w:sz w:val="18"/>
          <w:szCs w:val="18"/>
          <w:b w:val="1"/>
          <w:bCs w:val="1"/>
          <w:color w:val="auto"/>
        </w:rPr>
        <w:t>Domestication</w:t>
      </w:r>
      <w:r>
        <w:rPr>
          <w:rFonts w:ascii="Times New Roman" w:cs="Times New Roman" w:eastAsia="Times New Roman" w:hAnsi="Times New Roman"/>
          <w:sz w:val="18"/>
          <w:szCs w:val="18"/>
          <w:color w:val="auto"/>
        </w:rPr>
        <w:t>”), (ii) Merger Sub merging with and into Legacy Teamshares, with Legacy Teamshares continuing as the surviving corporation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(the date and time of such merger, the “</w:t>
      </w:r>
      <w:r>
        <w:rPr>
          <w:rFonts w:ascii="Times New Roman" w:cs="Times New Roman" w:eastAsia="Times New Roman" w:hAnsi="Times New Roman"/>
          <w:sz w:val="18"/>
          <w:szCs w:val="18"/>
          <w:b w:val="1"/>
          <w:bCs w:val="1"/>
          <w:color w:val="auto"/>
        </w:rPr>
        <w:t>First Effective Time</w:t>
      </w:r>
      <w:r>
        <w:rPr>
          <w:rFonts w:ascii="Times New Roman" w:cs="Times New Roman" w:eastAsia="Times New Roman" w:hAnsi="Times New Roman"/>
          <w:sz w:val="18"/>
          <w:szCs w:val="18"/>
          <w:color w:val="auto"/>
        </w:rPr>
        <w:t>”) as a wholly-owned subsidiary of Live Oak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and (iii) immediately thereafter, the Surviving Corporation merging with and into Merger Sub II, with Merger Sub II (renamed as “Teamshares LLC”) continuing as the surviving entity (the “</w:t>
      </w:r>
      <w:r>
        <w:rPr>
          <w:rFonts w:ascii="Times New Roman" w:cs="Times New Roman" w:eastAsia="Times New Roman" w:hAnsi="Times New Roman"/>
          <w:sz w:val="18"/>
          <w:szCs w:val="18"/>
          <w:b w:val="1"/>
          <w:bCs w:val="1"/>
          <w:color w:val="auto"/>
        </w:rPr>
        <w:t>Surviving Entity</w:t>
      </w:r>
      <w:r>
        <w:rPr>
          <w:rFonts w:ascii="Times New Roman" w:cs="Times New Roman" w:eastAsia="Times New Roman" w:hAnsi="Times New Roman"/>
          <w:sz w:val="18"/>
          <w:szCs w:val="18"/>
          <w:color w:val="auto"/>
        </w:rPr>
        <w:t>”) and as a wholly-owned subsidiary of Live Oak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and together with the Domestication and the other transactions contemplated by the Merger Agreement and the related agreements,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The two-step merger structure is intended to qualify as a tax-deferred reorganization under Section 368(a) of the Internal Revenue Code of 1986, as amended.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Transactions</w:t>
      </w:r>
    </w:p>
    <w:p>
      <w:pPr>
        <w:spacing w:after="0" w:line="117"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On June 16, 2026, Live Oak held an extraordinary general meeting of shareholders of Live Oak (the “</w:t>
      </w:r>
      <w:r>
        <w:rPr>
          <w:rFonts w:ascii="Times New Roman" w:cs="Times New Roman" w:eastAsia="Times New Roman" w:hAnsi="Times New Roman"/>
          <w:sz w:val="18"/>
          <w:szCs w:val="18"/>
          <w:b w:val="1"/>
          <w:bCs w:val="1"/>
          <w:color w:val="auto"/>
        </w:rPr>
        <w:t>Extraordinary General Meeting</w:t>
      </w:r>
      <w:r>
        <w:rPr>
          <w:rFonts w:ascii="Times New Roman" w:cs="Times New Roman" w:eastAsia="Times New Roman" w:hAnsi="Times New Roman"/>
          <w:sz w:val="18"/>
          <w:szCs w:val="18"/>
          <w:color w:val="auto"/>
        </w:rPr>
        <w:t>”) where the shareholders of Live Oak considered and approved, among other matters, a proposal described in the Proxy Statement/Prospectus to approve the entry into the Merger Agreement and consummate the Transactions contemplated thereby.</w:t>
      </w:r>
    </w:p>
    <w:p>
      <w:pPr>
        <w:spacing w:after="0" w:line="17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June 16, 2026, as contemplated by the Merger Agreement and described in the section titled “</w:t>
      </w:r>
      <w:r>
        <w:rPr>
          <w:rFonts w:ascii="Times New Roman" w:cs="Times New Roman" w:eastAsia="Times New Roman" w:hAnsi="Times New Roman"/>
          <w:sz w:val="18"/>
          <w:szCs w:val="18"/>
          <w:i w:val="1"/>
          <w:iCs w:val="1"/>
          <w:color w:val="auto"/>
        </w:rPr>
        <w:t>The Domestication Proposal (Proposal 2)</w:t>
      </w:r>
      <w:r>
        <w:rPr>
          <w:rFonts w:ascii="Times New Roman" w:cs="Times New Roman" w:eastAsia="Times New Roman" w:hAnsi="Times New Roman"/>
          <w:sz w:val="18"/>
          <w:szCs w:val="18"/>
          <w:color w:val="auto"/>
        </w:rPr>
        <w:t>” of the Proxy Statement/Prospectus, Live Oak filed a notice of deregistration with the Cayman Islands Registrar of Companies, together with the necessary accompanying documents, and, on June 18, 2026, filed a certificate of incorporation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a certificate of corporate domestication with the Secretary of State of the State of Delaware, pursuant to which Live Oak was domesticated and continues as a Delaware corporation, and effective upon the Closing, changing its name to “Teamshares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93" w:right="459" w:bottom="1440" w:gutter="0" w:footer="0" w:header="0"/>
        </w:sectPr>
      </w:pPr>
    </w:p>
    <w:bookmarkStart w:id="2" w:name="page3"/>
    <w:bookmarkEnd w:id="2"/>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connection with the Domestication, the then-issued and outstanding Live Oak Class B Ordinary Shares were converted, on a one-for-one basis, into shares of Live Oak Class B Common Stock. Further, in connection with the Closing, the then-issued and outstanding shares of Live Oak Class B Common Stock converted automatically, on a one-for-one basis, into shares of common stock, par value $0.0001 per share, of the Company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the Mergers, and upon the Closing, pursuant to the terms of the Merger Agreement, among other things:</w:t>
      </w:r>
    </w:p>
    <w:p>
      <w:pPr>
        <w:spacing w:after="0" w:line="131" w:lineRule="exact"/>
        <w:rPr>
          <w:sz w:val="20"/>
          <w:szCs w:val="20"/>
          <w:color w:val="auto"/>
        </w:rPr>
      </w:pPr>
    </w:p>
    <w:p>
      <w:pPr>
        <w:ind w:left="960" w:right="140" w:hanging="424"/>
        <w:spacing w:after="0" w:line="253"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capital stock of Legacy Teamshares as of immediately prior to the First Effective Time were automatically cancelled and ceased to exist, in exchange for the rights of (A) each Teamshares Stockholder to receive its pro rata share of the Stockholder Merger Consideration (after giving effect to certain elections by certain Legacy Teamshares preferred holders (“</w:t>
      </w:r>
      <w:r>
        <w:rPr>
          <w:rFonts w:ascii="Times New Roman" w:cs="Times New Roman" w:eastAsia="Times New Roman" w:hAnsi="Times New Roman"/>
          <w:sz w:val="18"/>
          <w:szCs w:val="18"/>
          <w:b w:val="1"/>
          <w:bCs w:val="1"/>
          <w:color w:val="auto"/>
        </w:rPr>
        <w:t>Liquidation Preference Elections</w:t>
      </w:r>
      <w:r>
        <w:rPr>
          <w:rFonts w:ascii="Times New Roman" w:cs="Times New Roman" w:eastAsia="Times New Roman" w:hAnsi="Times New Roman"/>
          <w:sz w:val="18"/>
          <w:szCs w:val="18"/>
          <w:color w:val="auto"/>
        </w:rPr>
        <w:t>”) and, thereafter, giving effect to the conversion of all remaining shares of Legacy Teamshares preferred stock into shares of Legacy Teamshares common stock in accordance with the terms of the Merger Agreement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Stock Exchange</w:t>
      </w:r>
      <w:r>
        <w:rPr>
          <w:rFonts w:ascii="Times New Roman" w:cs="Times New Roman" w:eastAsia="Times New Roman" w:hAnsi="Times New Roman"/>
          <w:sz w:val="18"/>
          <w:szCs w:val="18"/>
          <w:color w:val="auto"/>
        </w:rPr>
        <w:t>”) or otherwise treating shares of Company Preferred Stock on an as converted to Company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but excluding treasury stock owned by Legacy Teamshares or a direct or indirect subsidiary thereof (“</w:t>
      </w:r>
      <w:r>
        <w:rPr>
          <w:rFonts w:ascii="Times New Roman" w:cs="Times New Roman" w:eastAsia="Times New Roman" w:hAnsi="Times New Roman"/>
          <w:sz w:val="18"/>
          <w:szCs w:val="18"/>
          <w:b w:val="1"/>
          <w:bCs w:val="1"/>
          <w:color w:val="auto"/>
        </w:rPr>
        <w:t>Treasury Shares</w:t>
      </w:r>
      <w:r>
        <w:rPr>
          <w:rFonts w:ascii="Times New Roman" w:cs="Times New Roman" w:eastAsia="Times New Roman" w:hAnsi="Times New Roman"/>
          <w:sz w:val="18"/>
          <w:szCs w:val="18"/>
          <w:color w:val="auto"/>
        </w:rPr>
        <w:t>”) and</w:t>
      </w:r>
    </w:p>
    <w:p>
      <w:pPr>
        <w:spacing w:after="0" w:line="2" w:lineRule="exact"/>
        <w:rPr>
          <w:rFonts w:ascii="Times New Roman" w:cs="Times New Roman" w:eastAsia="Times New Roman" w:hAnsi="Times New Roman"/>
          <w:sz w:val="18"/>
          <w:szCs w:val="18"/>
          <w:color w:val="auto"/>
        </w:rPr>
      </w:pPr>
    </w:p>
    <w:p>
      <w:pPr>
        <w:ind w:left="960" w:righ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each Earnout Participant (as defined below) to receive certain Earnout Shares (as defined below), if any such shares are issued in accordance with the terms and conditions of the Merger Agreement; and</w:t>
      </w:r>
    </w:p>
    <w:p>
      <w:pPr>
        <w:spacing w:after="0" w:line="86" w:lineRule="exact"/>
        <w:rPr>
          <w:rFonts w:ascii="Times New Roman" w:cs="Times New Roman" w:eastAsia="Times New Roman" w:hAnsi="Times New Roman"/>
          <w:sz w:val="18"/>
          <w:szCs w:val="18"/>
          <w:color w:val="auto"/>
        </w:rPr>
      </w:pPr>
    </w:p>
    <w:p>
      <w:pPr>
        <w:ind w:left="960" w:right="2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to purchase equity securities of Legacy Teamshares with exercise prices less than the Per Share Price determined as of the Closing, as further described below, that remained outstanding as of the First Effective Time, whether vested or unvested, were assumed by the Company and replaced with Assumed Options, subject to equitable adjustments to the exercise prices and number of shares for which such Assumed Options are exercisable, all upon the terms and subject to the conditions set forth in the Merger Agreement and in accordance with applicable law; and</w:t>
      </w:r>
    </w:p>
    <w:p>
      <w:pPr>
        <w:spacing w:after="0" w:line="88" w:lineRule="exact"/>
        <w:rPr>
          <w:rFonts w:ascii="Times New Roman" w:cs="Times New Roman" w:eastAsia="Times New Roman" w:hAnsi="Times New Roman"/>
          <w:sz w:val="18"/>
          <w:szCs w:val="18"/>
          <w:color w:val="auto"/>
        </w:rPr>
      </w:pPr>
    </w:p>
    <w:p>
      <w:pPr>
        <w:ind w:left="960" w:right="4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Legacy Teamshares warrants, convertible debt, “out-of-the-money” options and other convertible securities outstanding and not exercised or converted prior to the First Effective Time were terminated and did not receive any consideration in connection with the Mergers.</w:t>
      </w:r>
    </w:p>
    <w:p>
      <w:pPr>
        <w:spacing w:after="0" w:line="81" w:lineRule="exact"/>
        <w:rPr>
          <w:rFonts w:ascii="Times New Roman" w:cs="Times New Roman" w:eastAsia="Times New Roman" w:hAnsi="Times New Roman"/>
          <w:sz w:val="18"/>
          <w:szCs w:val="18"/>
          <w:color w:val="auto"/>
        </w:rPr>
      </w:pPr>
    </w:p>
    <w:p>
      <w:pPr>
        <w:jc w:val="both"/>
        <w:ind w:left="9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Merger Agreement, a Legacy Teamshares option will be considered “in-the-money” if its per-share exercise price is less than the “Per Share Price” determined in accordance with the terms of the Merger Agreement. The Per Share Price is calculated as follows: Merger Consideration ÷ Fully-Diluted Company Shares as of the Closing.</w:t>
      </w:r>
    </w:p>
    <w:p>
      <w:pPr>
        <w:spacing w:after="0" w:line="172"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Pursuant to the Merger Agreement, the aggregate merger consideration (the “</w:t>
      </w:r>
      <w:r>
        <w:rPr>
          <w:rFonts w:ascii="Times New Roman" w:cs="Times New Roman" w:eastAsia="Times New Roman" w:hAnsi="Times New Roman"/>
          <w:sz w:val="18"/>
          <w:szCs w:val="18"/>
          <w:b w:val="1"/>
          <w:bCs w:val="1"/>
          <w:color w:val="auto"/>
        </w:rPr>
        <w:t>Aggregate Merger Consideration</w:t>
      </w:r>
      <w:r>
        <w:rPr>
          <w:rFonts w:ascii="Times New Roman" w:cs="Times New Roman" w:eastAsia="Times New Roman" w:hAnsi="Times New Roman"/>
          <w:sz w:val="18"/>
          <w:szCs w:val="18"/>
          <w:color w:val="auto"/>
        </w:rPr>
        <w:t>”) paid to the holders of securities of Legacy Teamshares was $525.0 million, paid in newly issued shares of Common Stock (and Assumed Vested Options), valued at $10.00 per share. The total Merger Consideration Shares equaled 52,500,000; the Stockholder Merger Consideration was approximately 49,435,918 shares of Common Stock and the Assumed Vested Options were exercisable on a net basis for approximately 3,064,082 shares of Common Stock.</w:t>
      </w:r>
    </w:p>
    <w:p>
      <w:pPr>
        <w:spacing w:after="0" w:line="176"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Certain former Legacy Teamshares securityholders (the “</w:t>
      </w:r>
      <w:r>
        <w:rPr>
          <w:rFonts w:ascii="Times New Roman" w:cs="Times New Roman" w:eastAsia="Times New Roman" w:hAnsi="Times New Roman"/>
          <w:sz w:val="18"/>
          <w:szCs w:val="18"/>
          <w:b w:val="1"/>
          <w:bCs w:val="1"/>
          <w:color w:val="auto"/>
        </w:rPr>
        <w:t>Earnout Participants</w:t>
      </w:r>
      <w:r>
        <w:rPr>
          <w:rFonts w:ascii="Times New Roman" w:cs="Times New Roman" w:eastAsia="Times New Roman" w:hAnsi="Times New Roman"/>
          <w:sz w:val="18"/>
          <w:szCs w:val="18"/>
          <w:color w:val="auto"/>
        </w:rPr>
        <w:t>”) have the contingent right to receive up to 6,000,000 additional shares of Common Stock (“</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during a five-year earnout period (the “</w:t>
      </w:r>
      <w:r>
        <w:rPr>
          <w:rFonts w:ascii="Times New Roman" w:cs="Times New Roman" w:eastAsia="Times New Roman" w:hAnsi="Times New Roman"/>
          <w:sz w:val="18"/>
          <w:szCs w:val="18"/>
          <w:b w:val="1"/>
          <w:bCs w:val="1"/>
          <w:color w:val="auto"/>
        </w:rPr>
        <w:t>Earnout Period</w:t>
      </w:r>
      <w:r>
        <w:rPr>
          <w:rFonts w:ascii="Times New Roman" w:cs="Times New Roman" w:eastAsia="Times New Roman" w:hAnsi="Times New Roman"/>
          <w:sz w:val="18"/>
          <w:szCs w:val="18"/>
          <w:color w:val="auto"/>
        </w:rPr>
        <w:t>”), in three equal tranches vesting upon the VWAP of Common Stock equaling or exceeding $12.00, $15.00 and $20.00, respectively, for 20 of any 30 consecutive trading days (or upon a qualifying change of control at an implied price at or above $12.00).</w:t>
      </w:r>
    </w:p>
    <w:p>
      <w:pPr>
        <w:spacing w:after="0" w:line="180"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In addition, 1,150,000 Deferred Founder Shares and up to 1,150,000 Incentive Founder Shares held by the Sponsor are subject to vesting and forfeiture based on certain Founder Share Triggering Events over a five-year Founder Share Measurement Period. As of the date of this Current Report, 63,300 Incentive Founder Shares are expected to be transferred to the SAFE Investors as “bonus” shares deliverable under the terms of the Teamshares SAFEs and 37,171 Incentive Founder Shares are expected to be transferred in connection with investors that entered into non-redemption agreements. To the extent that the Sponsor has not transferred or forfeited all of the Incentive Founder Shares at or prior to the Closing, then Sponsor shall forfeit fifty percent (50%) of the remaining Incentive Founder Shares at the Closing and the other remaining fifty percent (50%) of such Incentive Founder Shares shall become subject to vesting (or forfeiture) on the basis of achieving certain share price targets during the Founder Share Measurement Period. As a result, there are expected to be 524,765 Incentive Founder Shares that remain outstanding following the closing of the Business Combination.</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PIPE Investment</w:t>
      </w:r>
    </w:p>
    <w:p>
      <w:pPr>
        <w:spacing w:after="0" w:line="117"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Pursuant to the subscription agreements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entered into on November 14, 2025, by and among Live Oak and certain investors (collectively, the “</w:t>
      </w:r>
      <w:r>
        <w:rPr>
          <w:rFonts w:ascii="Times New Roman" w:cs="Times New Roman" w:eastAsia="Times New Roman" w:hAnsi="Times New Roman"/>
          <w:sz w:val="18"/>
          <w:szCs w:val="18"/>
          <w:b w:val="1"/>
          <w:bCs w:val="1"/>
          <w:color w:val="auto"/>
        </w:rPr>
        <w:t>Initial PIPE Investors</w:t>
      </w:r>
      <w:r>
        <w:rPr>
          <w:rFonts w:ascii="Times New Roman" w:cs="Times New Roman" w:eastAsia="Times New Roman" w:hAnsi="Times New Roman"/>
          <w:sz w:val="18"/>
          <w:szCs w:val="18"/>
          <w:color w:val="auto"/>
        </w:rPr>
        <w:t>”), the Company issued and sold to the Initial PIPE Investors (substantially concurrently with the consummation of the Business Combination) an aggregate of 13,750,000 shares (the “</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of Common Stock for aggregate gross proceeds of approximately $126.5 million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The terms of the Subscription Agreements are described in the Proxy Statement/Prospectus in the section titled “</w:t>
      </w:r>
      <w:r>
        <w:rPr>
          <w:rFonts w:ascii="Times New Roman" w:cs="Times New Roman" w:eastAsia="Times New Roman" w:hAnsi="Times New Roman"/>
          <w:sz w:val="18"/>
          <w:szCs w:val="18"/>
          <w:i w:val="1"/>
          <w:iCs w:val="1"/>
          <w:color w:val="auto"/>
        </w:rPr>
        <w:t>The Business Combination Proposal (Proposal 1)— Related Agreements—PIPE Subscription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Subscription Agreements is a summary only and is qualified in its entirety by the full text of the form of Subscription Agreement, , the form of which is included as Exhibit 10.8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Simple Agreements for Future Equity (SAFE) Investments</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during the period between December 2025 and May 2026, Legacy Teamshares and SAFE Investors entered into simple agreements for future equity for aggregate purchase amounts of approximately $6.3 million, of which $3.0 million was received by Legacy Teamshares in December 2025, $1.1 million was received by Legacy Teamshares in January 2026, $1.3 million was received by Legacy Teamshares in April 2026 and $1.0 million was received by Legacy Teamshares in May 2026. Certain holders of SAFEs issued by Legacy Teamshares automatically converted their SAFEs into shares of Common Stock at the Closing (representing approximately 1% of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Non-Redemption Agreements</w:t>
      </w:r>
    </w:p>
    <w:p>
      <w:pPr>
        <w:spacing w:after="0" w:line="117"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Live Oak entered into Non-Redemption Agreements (the “</w:t>
      </w:r>
      <w:r>
        <w:rPr>
          <w:rFonts w:ascii="Times New Roman" w:cs="Times New Roman" w:eastAsia="Times New Roman" w:hAnsi="Times New Roman"/>
          <w:sz w:val="18"/>
          <w:szCs w:val="18"/>
          <w:b w:val="1"/>
          <w:bCs w:val="1"/>
          <w:color w:val="auto"/>
        </w:rPr>
        <w:t>Non-Redemption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dated as of June 5, 2026, with unaffiliated third-party shareholders of Live Oak (each, a “</w:t>
      </w:r>
      <w:r>
        <w:rPr>
          <w:rFonts w:ascii="Times New Roman" w:cs="Times New Roman" w:eastAsia="Times New Roman" w:hAnsi="Times New Roman"/>
          <w:sz w:val="18"/>
          <w:szCs w:val="18"/>
          <w:b w:val="1"/>
          <w:bCs w:val="1"/>
          <w:color w:val="auto"/>
        </w:rPr>
        <w:t>NRA 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NRA Investors</w:t>
      </w:r>
      <w:r>
        <w:rPr>
          <w:rFonts w:ascii="Times New Roman" w:cs="Times New Roman" w:eastAsia="Times New Roman" w:hAnsi="Times New Roman"/>
          <w:sz w:val="18"/>
          <w:szCs w:val="18"/>
          <w:color w:val="auto"/>
        </w:rPr>
        <w:t>”) and Sponsor in accordance with the terms of the Merger Agreement.</w:t>
      </w:r>
    </w:p>
    <w:p>
      <w:pPr>
        <w:spacing w:after="0" w:line="17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the NRA Investors agreed not to redeem an aggregate of 276,646 Class A ordinary shares of Live Oak (the “</w:t>
      </w:r>
      <w:r>
        <w:rPr>
          <w:rFonts w:ascii="Times New Roman" w:cs="Times New Roman" w:eastAsia="Times New Roman" w:hAnsi="Times New Roman"/>
          <w:sz w:val="18"/>
          <w:szCs w:val="18"/>
          <w:b w:val="1"/>
          <w:bCs w:val="1"/>
          <w:color w:val="auto"/>
        </w:rPr>
        <w:t>Non-Redeemed Shares</w:t>
      </w:r>
      <w:r>
        <w:rPr>
          <w:rFonts w:ascii="Times New Roman" w:cs="Times New Roman" w:eastAsia="Times New Roman" w:hAnsi="Times New Roman"/>
          <w:sz w:val="18"/>
          <w:szCs w:val="18"/>
          <w:color w:val="auto"/>
        </w:rPr>
        <w:t>”) at the Extraordinary General Meeting. In exchange for the foregoing commitment to Live Oak to not redeem the Non-Redeemed Shares, the Sponsor agreed to transfer to the NRA Investors, contemporaneously with the Closing, an aggregate of 37,171 shares of Class B Common Stock held by the Sponsor, provided that such NRA Investors do not exercise their respective redemption rights with respect to the Non-Redeemed Shares in connection with the Extraordinary General Meeting. The foregoing description of the Non-Redemption Agreements does not purport to be complete and is qualified in its entirety by reference to the Form of Non-Redemption Agreement attached hereto as Exhibit 10.17, which is incorporated herein by reference.</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 description of the Business Combination and the terms of the Merger Agreement are included in the Proxy Statement/Prospectus in the section titled “</w:t>
      </w:r>
      <w:r>
        <w:rPr>
          <w:rFonts w:ascii="Times New Roman" w:cs="Times New Roman" w:eastAsia="Times New Roman" w:hAnsi="Times New Roman"/>
          <w:sz w:val="18"/>
          <w:szCs w:val="18"/>
          <w:i w:val="1"/>
          <w:iCs w:val="1"/>
          <w:color w:val="auto"/>
        </w:rPr>
        <w:t>The Business Combination Proposal (Proposal 1)</w:t>
      </w:r>
      <w:r>
        <w:rPr>
          <w:rFonts w:ascii="Times New Roman" w:cs="Times New Roman" w:eastAsia="Times New Roman" w:hAnsi="Times New Roman"/>
          <w:sz w:val="18"/>
          <w:szCs w:val="18"/>
          <w:color w:val="auto"/>
        </w:rPr>
        <w:t>.” The foregoing description of the Transactions is a summary only, does not purport to be complete, and is qualified in its entirety by the full text of the Merger Agreement and the amendments thereto, which are incorporated by reference to this Current Report as Exhibits 2.1, 2.2 and 2.3.</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93" w:right="479" w:bottom="1440" w:gutter="0" w:footer="0" w:header="0"/>
        </w:sectPr>
      </w:pPr>
    </w:p>
    <w:bookmarkStart w:id="4" w:name="page5"/>
    <w:bookmarkEnd w:id="4"/>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accounting purposes, the Business Combination is treated as a reverse recapitalization, with Live Oak treated as the “acquired” company and Legacy Teamshares as the accounting acquirer. The net assets of Live Oak are stated at historical cost, with no goodwill or other intangible assets recorded. The operations presented in the financial statements of the Company following the Closing are those of Legacy Teamshares.</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consummation of the Transactions, on the Closing Date, the Company entered into indemnification agreements with each of its directors and executive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is qualified in its entirety by the full text of the form of indemnification agreement, which is filed as Exhibit 10.1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Letter Agreement</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Contemporaneously with the execution and delivery of the Merger Agreement and in connection with the consummation of the Transactions and as contemplated by the Merger Agreement, Live Oak entered into the Sponsor Letter Agreement with the Sponsor and Legacy Teamshares, pursuant to which the Sponsor agreed, among other things, to certain transfer restrictions with respect to shares of Common Stock held by the Sponsor following the Closing. The material terms of the Sponsor Letter Agreement are described in the section of the Proxy Statement/Prospectus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(Proposal 1)— Related Agreements—Sponsor Letter Agreement</w:t>
      </w:r>
      <w:r>
        <w:rPr>
          <w:rFonts w:ascii="Times New Roman" w:cs="Times New Roman" w:eastAsia="Times New Roman" w:hAnsi="Times New Roman"/>
          <w:sz w:val="18"/>
          <w:szCs w:val="18"/>
          <w:color w:val="auto"/>
        </w:rPr>
        <w:t>.” The foregoing description is qualified in its entirety by the text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Sponsor Letter Agreement, which is included as Exhibit 10.2 to this Current Report and is incorporated herein by reference.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Company Holder Lock-Up</w:t>
      </w:r>
    </w:p>
    <w:p>
      <w:pPr>
        <w:spacing w:after="0" w:line="11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Contemporaneously with the execution and delivery of the Merger Agreement and in connection with the consummation of the Transactions and as contemplated by the Merger Agreement, Live Oak and certain equity holders of Legacy Teamshares entered into lock-up agreements, pursuant to which such holders agreed not to, among other things, sell, pledge, grant any option to purchase or otherwise dispose of their shares of Common Stock for a specified period following the Closing Date. The foregoing description is qualified in its entirety by the text of the form of Significant Company Holder Lock-Up Agreement, which is included as Exhibit 10.3 to this Current Report and is incorporated herein by reference.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Lock-Up</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Contemporaneously with the execution and delivery of the Merger Agreement and in connection with the consummation of the Transactions, Live Oak and each member of the Legacy Teamshares’s management entered into lock-up agreements, pursuant to which such holders agreed to certain transfer restrictions with respect to their shares of Common Stock for a specified period following the Closing Date. The foregoing description is qualified in its entirety by the text of the form of Management Lock-Up Agreement, which is included as Exhibit 10.4 to this Current Report and is incorporated herein by reference.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Lock-Up</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On the Closing Date, the Company and Company employees entered into lock-up agreements, pursuant to which such holders agreed not to, among other things, sell, pledge, grant any option to purchase or otherwise dispose of their shares of Common Stock for a specified period following the date of the Employee Lock-up Agreement. The foregoing description is qualified in its entirety by the text of the form of Employee Lock-Up Agreement, which is included as Exhibit 10.5 to this Current Report and is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Released Former Sponsor Shares</w:t>
      </w:r>
    </w:p>
    <w:p>
      <w:pPr>
        <w:spacing w:after="0" w:line="11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transfer restrictions described above, pursuant to the First Insider Letter Amendment, dated November 14, 2025, and the Second Insider Letter Amendment, dated April 1, 2026, each by and among the Company, the Sponsor and Legacy Teamshares (collectively, the “Insider Letter Amendments”), an aggregate of 100,471 Incentive Founder Shares that were actually utilized to incentivize commitments for financing transactions and non-redemption arrangements in connection with the Business Combination were released from the Sponsor lock-up restrictions upon the Closing and are not subject to the transfer restrictions otherwise applicable to the Sponsor Shares.</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the text of the Insider Letter Amendments, which are included as Exhibits 10.2(a) and 10.2(b) to this Current Report and is incorporated herein by reference.</w:t>
      </w:r>
    </w:p>
    <w:p>
      <w:pPr>
        <w:sectPr>
          <w:pgSz w:w="11900" w:h="16838" w:orient="portrait"/>
          <w:cols w:equalWidth="0" w:num="1">
            <w:col w:w="11000"/>
          </w:cols>
          <w:pgMar w:left="440" w:top="297" w:right="45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000"/>
          </w:cols>
          <w:pgMar w:left="440" w:top="297" w:right="4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Amended and Restated Registration Rights Agreement</w:t>
      </w:r>
    </w:p>
    <w:p>
      <w:pPr>
        <w:spacing w:after="0" w:line="121"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On the Closing Date, in connection with the consummation of the Transactions and as contemplated by the Merger Agreement, Live Oak, the Sponsor, certain persons and entities receiving shares of Common Stock in connection with the Business Combination (the “</w:t>
      </w:r>
      <w:r>
        <w:rPr>
          <w:rFonts w:ascii="Times New Roman" w:cs="Times New Roman" w:eastAsia="Times New Roman" w:hAnsi="Times New Roman"/>
          <w:sz w:val="17"/>
          <w:szCs w:val="17"/>
          <w:b w:val="1"/>
          <w:bCs w:val="1"/>
          <w:color w:val="auto"/>
        </w:rPr>
        <w:t>New Holders</w:t>
      </w:r>
      <w:r>
        <w:rPr>
          <w:rFonts w:ascii="Times New Roman" w:cs="Times New Roman" w:eastAsia="Times New Roman" w:hAnsi="Times New Roman"/>
          <w:sz w:val="17"/>
          <w:szCs w:val="17"/>
          <w:color w:val="auto"/>
        </w:rPr>
        <w:t>” and, together with the Sponsor, the “</w:t>
      </w:r>
      <w:r>
        <w:rPr>
          <w:rFonts w:ascii="Times New Roman" w:cs="Times New Roman" w:eastAsia="Times New Roman" w:hAnsi="Times New Roman"/>
          <w:sz w:val="17"/>
          <w:szCs w:val="17"/>
          <w:b w:val="1"/>
          <w:bCs w:val="1"/>
          <w:color w:val="auto"/>
        </w:rPr>
        <w:t>Reg Rights Holders</w:t>
      </w:r>
      <w:r>
        <w:rPr>
          <w:rFonts w:ascii="Times New Roman" w:cs="Times New Roman" w:eastAsia="Times New Roman" w:hAnsi="Times New Roman"/>
          <w:sz w:val="17"/>
          <w:szCs w:val="17"/>
          <w:color w:val="auto"/>
        </w:rPr>
        <w:t>”) entered into the Amended and Restated Registration Rights Agreement (the “</w:t>
      </w:r>
      <w:r>
        <w:rPr>
          <w:rFonts w:ascii="Times New Roman" w:cs="Times New Roman" w:eastAsia="Times New Roman" w:hAnsi="Times New Roman"/>
          <w:sz w:val="17"/>
          <w:szCs w:val="17"/>
          <w:b w:val="1"/>
          <w:bCs w:val="1"/>
          <w:color w:val="auto"/>
        </w:rPr>
        <w:t>A&amp;R 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Rights Agreement</w:t>
      </w:r>
      <w:r>
        <w:rPr>
          <w:rFonts w:ascii="Times New Roman" w:cs="Times New Roman" w:eastAsia="Times New Roman" w:hAnsi="Times New Roman"/>
          <w:sz w:val="17"/>
          <w:szCs w:val="17"/>
          <w:color w:val="auto"/>
        </w:rPr>
        <w:t>”), pursuant to which the Company has agreed to use its commercially reasonable efforts to (1) file with the SEC (at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sole cost and expense) a registration statement registering the resale of certain securities held by or issuable to the Reg Rights Holders (the “</w:t>
      </w:r>
      <w:r>
        <w:rPr>
          <w:rFonts w:ascii="Times New Roman" w:cs="Times New Roman" w:eastAsia="Times New Roman" w:hAnsi="Times New Roman"/>
          <w:sz w:val="17"/>
          <w:szCs w:val="17"/>
          <w:b w:val="1"/>
          <w:bCs w:val="1"/>
          <w:color w:val="auto"/>
        </w:rPr>
        <w:t>Resale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and (2) cause the Resale Registration Statement to become effective as soon as reasonably practicable after the filing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certain circumstances, the Reg Rights Holders may demand underwritten offerings and will be entitled to customary piggyback registration rights.</w:t>
      </w:r>
    </w:p>
    <w:p>
      <w:pPr>
        <w:spacing w:after="0" w:line="16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material terms of the A&amp;R Registration Rights Agreement are described in the section of the Proxy Statement/Prospectus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(Proposal 1)—Related Agreements—Registration Rights Agreement</w:t>
      </w:r>
      <w:r>
        <w:rPr>
          <w:rFonts w:ascii="Times New Roman" w:cs="Times New Roman" w:eastAsia="Times New Roman" w:hAnsi="Times New Roman"/>
          <w:sz w:val="18"/>
          <w:szCs w:val="18"/>
          <w:color w:val="auto"/>
        </w:rPr>
        <w:t>.” The foregoing description of the A&amp;R Registration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is qualified in its entirety by the full text of the A&amp;R Registration Rights Agreement, a copy of which is filed as Exhibit 10.6 to this Current Report and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the “</w:t>
      </w:r>
      <w:r>
        <w:rPr>
          <w:rFonts w:ascii="Times New Roman" w:cs="Times New Roman" w:eastAsia="Times New Roman" w:hAnsi="Times New Roman"/>
          <w:sz w:val="18"/>
          <w:szCs w:val="18"/>
          <w:i w:val="1"/>
          <w:iCs w:val="1"/>
          <w:color w:val="auto"/>
        </w:rPr>
        <w:t>Introductory Note—PIPE Investment</w:t>
      </w:r>
      <w:r>
        <w:rPr>
          <w:rFonts w:ascii="Times New Roman" w:cs="Times New Roman" w:eastAsia="Times New Roman" w:hAnsi="Times New Roman"/>
          <w:sz w:val="18"/>
          <w:szCs w:val="18"/>
          <w:color w:val="auto"/>
        </w:rPr>
        <w:t>” above is incorporated into this Item 1.01 by reference.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117"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On June 1, 2026, in connection with the Business Combination, Live Oak entered into an agreement (the “</w:t>
      </w:r>
      <w:r>
        <w:rPr>
          <w:rFonts w:ascii="Times New Roman" w:cs="Times New Roman" w:eastAsia="Times New Roman" w:hAnsi="Times New Roman"/>
          <w:sz w:val="18"/>
          <w:szCs w:val="18"/>
          <w:b w:val="1"/>
          <w:bCs w:val="1"/>
          <w:color w:val="auto"/>
        </w:rPr>
        <w:t>Forward Purchase Agreement</w:t>
      </w:r>
      <w:r>
        <w:rPr>
          <w:rFonts w:ascii="Times New Roman" w:cs="Times New Roman" w:eastAsia="Times New Roman" w:hAnsi="Times New Roman"/>
          <w:sz w:val="18"/>
          <w:szCs w:val="18"/>
          <w:color w:val="auto"/>
        </w:rPr>
        <w:t>”) with a fund sub-advised by JBA Asset Management LLC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for an OTC Equity Prepaid Forward Transaction to purchase shares of Common Stock. Capitalized terms used but not otherwise defined in this subsection have the meanings ascribed to them in the Forward Purchase Agreement.</w:t>
      </w:r>
    </w:p>
    <w:p>
      <w:pPr>
        <w:spacing w:after="0" w:line="175"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Forward Purchase Agreement does not purport to be complete and is qualified in its entirety by reference to the full text of the Forward Purchase Agreement, a copy of which is included as Exhibit 10.9 to this Current Report and is incorporated herein by reference.</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disclosure set forth under “</w:t>
      </w:r>
      <w:r>
        <w:rPr>
          <w:rFonts w:ascii="Times New Roman" w:cs="Times New Roman" w:eastAsia="Times New Roman" w:hAnsi="Times New Roman"/>
          <w:sz w:val="18"/>
          <w:szCs w:val="18"/>
          <w:i w:val="1"/>
          <w:iCs w:val="1"/>
          <w:color w:val="auto"/>
        </w:rPr>
        <w:t>Introductory Note</w:t>
      </w:r>
      <w:r>
        <w:rPr>
          <w:rFonts w:ascii="Times New Roman" w:cs="Times New Roman" w:eastAsia="Times New Roman" w:hAnsi="Times New Roman"/>
          <w:sz w:val="18"/>
          <w:szCs w:val="18"/>
          <w:color w:val="auto"/>
        </w:rPr>
        <w:t>” above is incorporated into this Item 2.01 by reference.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93" w:right="4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FORM 10 INFORMATION</w:t>
      </w:r>
    </w:p>
    <w:p>
      <w:pPr>
        <w:spacing w:after="0" w:line="22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Item 2.01(f) of Form 8-K provides that if the predecessor registrant was a “shell company” (as such term is defined in Rule 12b-2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Live Oak was immediately before the Transactions, then the registrant must disclose the information that would be required if the registrant were filing a general form for registration of securities on Form 10. As a result of the consummation of the Transactions, and as discussed below in Item 5.06 of this Current Report, the Company has ceased to be a shell company. Accordingly, the Company is providing the information below that would be included in a Form 10 if it were to file a Form 10. Please note that the information provided below relates to the combined company after the consummation of the Transactions, unless otherwise specifically indicated or the context otherwise requires.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Current Report and the documents incorporated herein by reference contain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Exchange Act. These forward-looking statements include, without limitation, statements relating to expectations for future financial performance, business strategies or expectations of our businesses. These statements are based on the beliefs and assumptions of the Company’s management. Although the Company believes that its plans, intentions and expectations reflected in or suggested by these forward-looking statements are reasonable, the Company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Current Report, words such as “anticipate,” “believe,” “can,” “continue,” “could,” “estimate,” “expect,” “forecast,” “intend,” “may,” “might,” “plan,” “possible,” “potential,” “predict,” “project,” “seek,” “should,” “strive,” “target,” “will,” “would” and the negative of those words and similar expressions may identify forward-looking statements, but the absence of these words does not mean that a statement is not forward-looking.</w:t>
      </w:r>
    </w:p>
    <w:p>
      <w:pPr>
        <w:spacing w:after="0" w:line="19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w:t>
      </w:r>
    </w:p>
    <w:p>
      <w:pPr>
        <w:spacing w:after="0" w:line="8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realize the benefits expected from the Transactions;</w:t>
      </w:r>
    </w:p>
    <w:p>
      <w:pPr>
        <w:spacing w:after="0" w:line="12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Common Stock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financing in the future and to comply with restrictive covenants related to long-term indebtedness;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financial performance of the Company following the Business Combination;</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retain or recruit, or to effect changes required in, its officers, key employees or directors following the Business Combination;</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acquire, integrate and grow small-to-medium-sized businesses and implement its tech-enabled employee ownership platform;</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comply with laws and regulations applicable to its business;</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time during which the Company will be an “emerging growth company” under the Jumpstart Our Business Startups Act of 2012, as amended; and</w:t>
      </w:r>
    </w:p>
    <w:p>
      <w:pPr>
        <w:spacing w:after="0" w:line="65" w:lineRule="exact"/>
        <w:rPr>
          <w:rFonts w:ascii="Times New Roman" w:cs="Times New Roman" w:eastAsia="Times New Roman" w:hAnsi="Times New Roman"/>
          <w:sz w:val="18"/>
          <w:szCs w:val="18"/>
          <w:color w:val="auto"/>
        </w:rPr>
      </w:pPr>
    </w:p>
    <w:p>
      <w:pPr>
        <w:ind w:left="960" w:right="16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Proxy Statement/Prospectus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which is incorporated herein by reference.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93" w:right="459" w:bottom="1440" w:gutter="0" w:footer="0" w:header="0"/>
        </w:sectPr>
      </w:pPr>
    </w:p>
    <w:bookmarkStart w:id="7" w:name="page8"/>
    <w:bookmarkEnd w:id="7"/>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These forward-looking statements are based on information available as of the date of this Current Report and the Company’s management teams’ current expectations, forecasts and assumptions, and involve a number of judgments, known and unknown risks and uncertainties and other factors, many of which are outside the control of the Company and their respective directors, officers and affiliates. Accordingly, forward-looking statements should not be relied upon as representing the views of the Company’s management as of any subsequent date. The Company does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business and properties of Live Oak and Legacy Teamshares prior to the Business Combination are described in the Proxy Statement/Prospectus in the sections titled “</w:t>
      </w:r>
      <w:r>
        <w:rPr>
          <w:rFonts w:ascii="Times New Roman" w:cs="Times New Roman" w:eastAsia="Times New Roman" w:hAnsi="Times New Roman"/>
          <w:sz w:val="18"/>
          <w:szCs w:val="18"/>
          <w:i w:val="1"/>
          <w:iCs w:val="1"/>
          <w:color w:val="auto"/>
        </w:rPr>
        <w:t>Information About Live Oak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About Teamshares</w:t>
      </w:r>
      <w:r>
        <w:rPr>
          <w:rFonts w:ascii="Times New Roman" w:cs="Times New Roman" w:eastAsia="Times New Roman" w:hAnsi="Times New Roman"/>
          <w:sz w:val="18"/>
          <w:szCs w:val="18"/>
          <w:color w:val="auto"/>
        </w:rPr>
        <w:t>”, which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t>The risks associated with the Company’s business are described in the Proxy Statement/Prospectus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w:t>
      </w:r>
    </w:p>
    <w:p>
      <w:pPr>
        <w:spacing w:after="0" w:line="121"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9.01(a) and (b) of this Current Report with respect to the financial statements and pro forma financial information of the Company, Live Oak and Legacy Teamshares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of Legacy Teamshares prior to the consummation of the Business Combination, for the years ended December 31, 2025 and 2024 and for the three months ended March 31, 2026 and 2025, are described in the Proxy Statement/Prospectus in 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Teamshares</w:t>
      </w:r>
      <w:r>
        <w:rPr>
          <w:rFonts w:ascii="Times New Roman" w:cs="Times New Roman" w:eastAsia="Times New Roman" w:hAnsi="Times New Roman"/>
          <w:sz w:val="18"/>
          <w:szCs w:val="18"/>
          <w:color w:val="auto"/>
        </w:rPr>
        <w:t>” beginning on page 279 of the Proxy Statement/Prospectus, which is incorporated herein by reference.</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Additionally, our historical results are not necessarily indicative of the results that may be expected for any period in the future. References in this section to “Teamshares,” “we,” “our,” “us” and the “Company” generally refer to Legacy Teamshares and its consolidated subsidiaries prior to the Business Combination and to the Company and its consolidated subsidiaries after giving effect to the Business Combination.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applicable to Legacy Teamshares prior to the Business Combination, as of March 31, 2026 and 2025 are included in the Proxy Statement/Prospectus in the section titled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of Teamshares—Quantitative and Qualitative Disclosures About Market Risk</w:t>
      </w:r>
      <w:r>
        <w:rPr>
          <w:rFonts w:ascii="Times New Roman" w:cs="Times New Roman" w:eastAsia="Times New Roman" w:hAnsi="Times New Roman"/>
          <w:sz w:val="18"/>
          <w:szCs w:val="18"/>
          <w:color w:val="auto"/>
        </w:rPr>
        <w:t>” beginning on page 308 of the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which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p>
      <w:pPr>
        <w:spacing w:after="0" w:line="119"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Reference is made to the disclosure contained in the Proxy Statement/Prospectus in the section titled “</w:t>
      </w:r>
      <w:r>
        <w:rPr>
          <w:rFonts w:ascii="Times New Roman" w:cs="Times New Roman" w:eastAsia="Times New Roman" w:hAnsi="Times New Roman"/>
          <w:sz w:val="18"/>
          <w:szCs w:val="18"/>
          <w:i w:val="1"/>
          <w:iCs w:val="1"/>
          <w:color w:val="auto"/>
        </w:rPr>
        <w:t>Information About Teamshares</w:t>
      </w:r>
      <w:r>
        <w:rPr>
          <w:rFonts w:ascii="Times New Roman" w:cs="Times New Roman" w:eastAsia="Times New Roman" w:hAnsi="Times New Roman"/>
          <w:sz w:val="18"/>
          <w:szCs w:val="18"/>
          <w:color w:val="auto"/>
        </w:rPr>
        <w:t>”, which is incorporated herein by reference.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97" w:right="47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Security Ownership of Certain Beneficial Owners and Management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beneficial ownership of Common Stock following the consummation of the Transactions by:</w:t>
      </w:r>
    </w:p>
    <w:p>
      <w:pPr>
        <w:spacing w:after="0" w:line="131" w:lineRule="exact"/>
        <w:rPr>
          <w:sz w:val="20"/>
          <w:szCs w:val="20"/>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the outstanding shares of Common Stock;</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current named executive officers and directors;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of the Company as a group.</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Unless otherwise indicated, the Company believes that all persons named in the table below have sole voting and investment power with respect to the voting securities beneficially owned by them.</w:t>
      </w:r>
    </w:p>
    <w:p>
      <w:pPr>
        <w:spacing w:after="0" w:line="180"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73,660,538 shares of Common Stock issued and outstanding as of the Closing Date, which include 1,674,765 unvested Deferred Founder Shares and Incentive Founder Shares subject to forfeiture if certain conditions are not achieved, and do not take into account the issuance of any shares of Common Stock upon the exercise of Assumed Options and Warrants, or any shares potentially issuable related to Earnout Shares.</w:t>
      </w:r>
    </w:p>
    <w:p>
      <w:pPr>
        <w:spacing w:after="0" w:line="188"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0"/>
                <w:szCs w:val="10"/>
                <w:b w:val="1"/>
                <w:bCs w:val="1"/>
                <w:color w:val="auto"/>
              </w:rPr>
              <w:t>(1)</w:t>
            </w:r>
          </w:p>
        </w:tc>
        <w:tc>
          <w:tcPr>
            <w:tcW w:w="580" w:type="dxa"/>
            <w:vAlign w:val="bottom"/>
          </w:tcPr>
          <w:p>
            <w:pPr>
              <w:spacing w:after="0"/>
              <w:rPr>
                <w:sz w:val="12"/>
                <w:szCs w:val="12"/>
                <w:color w:val="auto"/>
              </w:rPr>
            </w:pPr>
          </w:p>
        </w:tc>
        <w:tc>
          <w:tcPr>
            <w:tcW w:w="23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Beneficially</w:t>
            </w:r>
          </w:p>
        </w:tc>
        <w:tc>
          <w:tcPr>
            <w:tcW w:w="38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860" w:type="dxa"/>
            <w:vAlign w:val="bottom"/>
            <w:tcBorders>
              <w:bottom w:val="single" w:sz="8" w:color="auto"/>
            </w:tcBorders>
            <w:vMerge w:val="continue"/>
          </w:tcPr>
          <w:p>
            <w:pPr>
              <w:spacing w:after="0"/>
              <w:rPr>
                <w:sz w:val="15"/>
                <w:szCs w:val="15"/>
                <w:color w:val="auto"/>
              </w:rPr>
            </w:pPr>
          </w:p>
        </w:tc>
        <w:tc>
          <w:tcPr>
            <w:tcW w:w="580" w:type="dxa"/>
            <w:vAlign w:val="bottom"/>
          </w:tcPr>
          <w:p>
            <w:pPr>
              <w:spacing w:after="0"/>
              <w:rPr>
                <w:sz w:val="15"/>
                <w:szCs w:val="15"/>
                <w:color w:val="auto"/>
              </w:rPr>
            </w:pPr>
          </w:p>
        </w:tc>
        <w:tc>
          <w:tcPr>
            <w:tcW w:w="234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5% Holders</w:t>
            </w:r>
          </w:p>
        </w:tc>
        <w:tc>
          <w:tcPr>
            <w:tcW w:w="58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 Rowe Price </w:t>
            </w:r>
            <w:r>
              <w:rPr>
                <w:rFonts w:ascii="Times New Roman" w:cs="Times New Roman" w:eastAsia="Times New Roman" w:hAnsi="Times New Roman"/>
                <w:sz w:val="25"/>
                <w:szCs w:val="25"/>
                <w:color w:val="auto"/>
                <w:vertAlign w:val="superscript"/>
              </w:rPr>
              <w:t>(2)</w:t>
            </w:r>
          </w:p>
        </w:tc>
        <w:tc>
          <w:tcPr>
            <w:tcW w:w="2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13,043,478</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Khosla Ventures </w:t>
            </w:r>
            <w:r>
              <w:rPr>
                <w:rFonts w:ascii="Times New Roman" w:cs="Times New Roman" w:eastAsia="Times New Roman" w:hAnsi="Times New Roman"/>
                <w:sz w:val="25"/>
                <w:szCs w:val="25"/>
                <w:color w:val="auto"/>
                <w:vertAlign w:val="superscript"/>
              </w:rPr>
              <w:t>(3)</w:t>
            </w:r>
          </w:p>
        </w:tc>
        <w:tc>
          <w:tcPr>
            <w:tcW w:w="2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7,498,171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QED Growth </w:t>
            </w:r>
            <w:r>
              <w:rPr>
                <w:rFonts w:ascii="Times New Roman" w:cs="Times New Roman" w:eastAsia="Times New Roman" w:hAnsi="Times New Roman"/>
                <w:sz w:val="25"/>
                <w:szCs w:val="25"/>
                <w:color w:val="auto"/>
                <w:vertAlign w:val="superscript"/>
              </w:rPr>
              <w:t>(4)</w:t>
            </w:r>
          </w:p>
        </w:tc>
        <w:tc>
          <w:tcPr>
            <w:tcW w:w="2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5,992,667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Spark Capital </w:t>
            </w:r>
            <w:r>
              <w:rPr>
                <w:rFonts w:ascii="Times New Roman" w:cs="Times New Roman" w:eastAsia="Times New Roman" w:hAnsi="Times New Roman"/>
                <w:sz w:val="25"/>
                <w:szCs w:val="25"/>
                <w:color w:val="auto"/>
                <w:vertAlign w:val="superscript"/>
              </w:rPr>
              <w:t>(5)</w:t>
            </w:r>
          </w:p>
        </w:tc>
        <w:tc>
          <w:tcPr>
            <w:tcW w:w="2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3,645,439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Inspired Capital Partners </w:t>
            </w:r>
            <w:r>
              <w:rPr>
                <w:rFonts w:ascii="Times New Roman" w:cs="Times New Roman" w:eastAsia="Times New Roman" w:hAnsi="Times New Roman"/>
                <w:sz w:val="25"/>
                <w:szCs w:val="25"/>
                <w:color w:val="auto"/>
                <w:vertAlign w:val="superscript"/>
              </w:rPr>
              <w:t>(6)</w:t>
            </w:r>
          </w:p>
        </w:tc>
        <w:tc>
          <w:tcPr>
            <w:tcW w:w="2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4,585,000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Slow Ventures </w:t>
            </w:r>
            <w:r>
              <w:rPr>
                <w:rFonts w:ascii="Times New Roman" w:cs="Times New Roman" w:eastAsia="Times New Roman" w:hAnsi="Times New Roman"/>
                <w:sz w:val="25"/>
                <w:szCs w:val="25"/>
                <w:color w:val="auto"/>
                <w:vertAlign w:val="superscript"/>
              </w:rPr>
              <w:t>(7)</w:t>
            </w:r>
          </w:p>
        </w:tc>
        <w:tc>
          <w:tcPr>
            <w:tcW w:w="2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4,988,012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USV </w:t>
            </w:r>
            <w:r>
              <w:rPr>
                <w:rFonts w:ascii="Times New Roman" w:cs="Times New Roman" w:eastAsia="Times New Roman" w:hAnsi="Times New Roman"/>
                <w:sz w:val="25"/>
                <w:szCs w:val="25"/>
                <w:color w:val="auto"/>
                <w:vertAlign w:val="superscript"/>
              </w:rPr>
              <w:t>(8)</w:t>
            </w:r>
          </w:p>
        </w:tc>
        <w:tc>
          <w:tcPr>
            <w:tcW w:w="2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4,028,647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HB Strategies LLC </w:t>
            </w:r>
            <w:r>
              <w:rPr>
                <w:rFonts w:ascii="Times New Roman" w:cs="Times New Roman" w:eastAsia="Times New Roman" w:hAnsi="Times New Roman"/>
                <w:sz w:val="25"/>
                <w:szCs w:val="25"/>
                <w:color w:val="auto"/>
                <w:vertAlign w:val="superscript"/>
              </w:rPr>
              <w:t>(9)</w:t>
            </w:r>
          </w:p>
        </w:tc>
        <w:tc>
          <w:tcPr>
            <w:tcW w:w="2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4,000,000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32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the Company</w:t>
            </w: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Michael Brown </w:t>
            </w:r>
            <w:r>
              <w:rPr>
                <w:rFonts w:ascii="Times New Roman" w:cs="Times New Roman" w:eastAsia="Times New Roman" w:hAnsi="Times New Roman"/>
                <w:sz w:val="25"/>
                <w:szCs w:val="25"/>
                <w:color w:val="auto"/>
                <w:vertAlign w:val="superscript"/>
              </w:rPr>
              <w:t>(10)</w:t>
            </w:r>
          </w:p>
        </w:tc>
        <w:tc>
          <w:tcPr>
            <w:tcW w:w="2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1,243,684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Kevin Shiiba </w:t>
            </w:r>
            <w:r>
              <w:rPr>
                <w:rFonts w:ascii="Times New Roman" w:cs="Times New Roman" w:eastAsia="Times New Roman" w:hAnsi="Times New Roman"/>
                <w:sz w:val="25"/>
                <w:szCs w:val="25"/>
                <w:color w:val="auto"/>
                <w:vertAlign w:val="superscript"/>
              </w:rPr>
              <w:t>(11)</w:t>
            </w:r>
          </w:p>
        </w:tc>
        <w:tc>
          <w:tcPr>
            <w:tcW w:w="2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924,974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Alex Eu </w:t>
            </w:r>
            <w:r>
              <w:rPr>
                <w:rFonts w:ascii="Times New Roman" w:cs="Times New Roman" w:eastAsia="Times New Roman" w:hAnsi="Times New Roman"/>
                <w:sz w:val="25"/>
                <w:szCs w:val="25"/>
                <w:color w:val="auto"/>
                <w:vertAlign w:val="superscript"/>
              </w:rPr>
              <w:t>(12)</w:t>
            </w:r>
          </w:p>
        </w:tc>
        <w:tc>
          <w:tcPr>
            <w:tcW w:w="2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702,783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Madhuri Kommareddi </w:t>
            </w:r>
            <w:r>
              <w:rPr>
                <w:rFonts w:ascii="Times New Roman" w:cs="Times New Roman" w:eastAsia="Times New Roman" w:hAnsi="Times New Roman"/>
                <w:sz w:val="25"/>
                <w:szCs w:val="25"/>
                <w:color w:val="auto"/>
                <w:vertAlign w:val="superscript"/>
              </w:rPr>
              <w:t>(13)</w:t>
            </w:r>
          </w:p>
        </w:tc>
        <w:tc>
          <w:tcPr>
            <w:tcW w:w="2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216,543</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Brian Gaebe </w:t>
            </w:r>
            <w:r>
              <w:rPr>
                <w:rFonts w:ascii="Times New Roman" w:cs="Times New Roman" w:eastAsia="Times New Roman" w:hAnsi="Times New Roman"/>
                <w:sz w:val="25"/>
                <w:szCs w:val="25"/>
                <w:color w:val="auto"/>
                <w:vertAlign w:val="superscript"/>
              </w:rPr>
              <w:t>(14)</w:t>
            </w:r>
          </w:p>
        </w:tc>
        <w:tc>
          <w:tcPr>
            <w:tcW w:w="2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210,432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Evan Moore </w:t>
            </w:r>
            <w:r>
              <w:rPr>
                <w:rFonts w:ascii="Times New Roman" w:cs="Times New Roman" w:eastAsia="Times New Roman" w:hAnsi="Times New Roman"/>
                <w:sz w:val="25"/>
                <w:szCs w:val="25"/>
                <w:color w:val="auto"/>
                <w:vertAlign w:val="superscript"/>
              </w:rPr>
              <w:t>(15)</w:t>
            </w:r>
          </w:p>
        </w:tc>
        <w:tc>
          <w:tcPr>
            <w:tcW w:w="29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39,675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Richard J. Hendrix </w:t>
            </w:r>
            <w:r>
              <w:rPr>
                <w:rFonts w:ascii="Times New Roman" w:cs="Times New Roman" w:eastAsia="Times New Roman" w:hAnsi="Times New Roman"/>
                <w:sz w:val="25"/>
                <w:szCs w:val="25"/>
                <w:color w:val="auto"/>
                <w:vertAlign w:val="superscript"/>
              </w:rPr>
              <w:t>(16)</w:t>
            </w:r>
          </w:p>
        </w:tc>
        <w:tc>
          <w:tcPr>
            <w:tcW w:w="2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5,124,765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Adam J. Fishman</w:t>
            </w:r>
          </w:p>
        </w:tc>
        <w:tc>
          <w:tcPr>
            <w:tcW w:w="580" w:type="dxa"/>
            <w:vAlign w:val="bottom"/>
          </w:tcPr>
          <w:p>
            <w:pPr>
              <w:spacing w:after="0"/>
              <w:rPr>
                <w:sz w:val="20"/>
                <w:szCs w:val="20"/>
                <w:color w:val="auto"/>
              </w:rPr>
            </w:pPr>
          </w:p>
        </w:tc>
        <w:tc>
          <w:tcPr>
            <w:tcW w:w="234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48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(8 individuals)</w:t>
            </w:r>
          </w:p>
        </w:tc>
        <w:tc>
          <w:tcPr>
            <w:tcW w:w="292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8,462,854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24" w:right="200" w:hanging="424"/>
        <w:spacing w:after="0" w:line="25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those listed in the table above is c/o Teamshares Inc. 214 Sullivan Street, 3B New York, NY 10012</w:t>
      </w: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 Rowe Price is 1307 Point Street Baltimore, MD 21231.</w:t>
      </w:r>
    </w:p>
    <w:p>
      <w:pPr>
        <w:spacing w:after="0" w:line="9" w:lineRule="exact"/>
        <w:rPr>
          <w:rFonts w:ascii="Times New Roman" w:cs="Times New Roman" w:eastAsia="Times New Roman" w:hAnsi="Times New Roman"/>
          <w:sz w:val="18"/>
          <w:szCs w:val="18"/>
          <w:color w:val="auto"/>
        </w:rPr>
      </w:pPr>
    </w:p>
    <w:p>
      <w:pPr>
        <w:ind w:left="424" w:right="140"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5,298,177 shares owned by Khosla Ventures VII, LP, or KV VII, and (ii) 2,199,994 shares held beneficially by Khosla Ventures Opportunity I, LP, or KV Opp I. The general partner of KV VII is Khosla Ventures Associates VII, LLC, or KVA VII. The general partner of KV Opp I is Khosla Ventures Opportunity Associates I, LLC, or KVOA I. VK Services, LLC, or VK Services, is the sole manager of KVA VII and KVOA I. Vinod Khosla is the managing member of VK Services. Each of Mr. Khosla, VK Services and KVA VII may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93" w:right="459" w:bottom="1440" w:gutter="0" w:footer="0" w:header="0"/>
        </w:sectPr>
      </w:pPr>
    </w:p>
    <w:bookmarkStart w:id="9" w:name="page10"/>
    <w:bookmarkEnd w:id="9"/>
    <w:p>
      <w:pPr>
        <w:ind w:left="42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be deemed to share voting and dispositive power over the shares held by KV VII. Mr. Khosla, VK Services and KVA VII disclaim beneficial ownership of the shares held by KV VII, except to the extent of their respective pecuniary interests therein. Each of Mr. Khosla, VK Services and KVOA I may be deemed to share voting and dispositive power over the shares held by KV Opp I. Mr. Khosla, VK Services and KVOA I disclaim beneficial ownership of such shares held by KV Opp I, except to the extent of their respective pecuniary interests therein. The business address for Mr. Khosla, and each of the foregoing entities, is 2128 Sand Hill Road, Menlo Park, California 94025.</w:t>
      </w:r>
    </w:p>
    <w:p>
      <w:pPr>
        <w:spacing w:after="0" w:line="3" w:lineRule="exact"/>
        <w:rPr>
          <w:sz w:val="20"/>
          <w:szCs w:val="20"/>
          <w:color w:val="auto"/>
        </w:rPr>
      </w:pPr>
    </w:p>
    <w:p>
      <w:pPr>
        <w:ind w:left="424" w:right="14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5,992,667 shares held beneficially by QED Growth Fund, L.P.. QED Partners Growth, LLC is the general partner of QED Growth Fund, L.P.. Nigel Morris is the managing member of QED Partners Growth, LLC and may be deemed to share voting and dispositive power over the shares held by QED Growth Fund, L.P.. Each of the foregoing persons and entities disclaims beneficial ownership of the reported shares except to the extent of their pecuniary interest therein. The business address of the foregoing entities is 405 Cameron Street, Alexandria, Virginia 22314.</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3,608,626 shares held by Spark Capital Growth Fund III, L.P. and 36,813 shares owned by Spark Capital Growth Founders’ Fund III, L.P. (together, the “Spark Entities”). Spark Growth Management Partners III, LLC is the General Partner of the Spark Entities. Alex Finkelstein, Jeremy Philips, and Santo Politi are the Managing Members of Spark Growth Management Partners III, LLC and hold voting and dispositive power over the shares held by the Spark Entities. Each of the foregoing persons disclaims beneficial ownership of the reported shares except to the extent of their pecuniary interest therein. The business address of Spark Capital is 200 Clarendon Street, Floor 59, Boston, MA 02116.</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2,621,470 shares held beneficially by Inspired Capital Partners I, L.P., (ii) 1,484,996 shares held beneficially by Inspired Capital Partners TMS2, L.P., or TMS2, and (iii) 478,534 shares owned by Inspired Capital TMS, L.P., or TMS. Inspired Capital Partners GP I, LLC is the general partner of Inspired Capital Partners I, L.P. Inspired Capital GP SPV, LLC is the general partner of each of TMS and TMS2. Alexa von Tobel is the managing member of each of Inspired Capital Partners GP I, LLC and Inspired Capital GP SPV, LLC and holds voting and dispositive power over the shares held by each of the foregoing entities. Each of the foregoing persons and entities disclaims beneficial ownership of the reported shares except to the extent of his or her pecuniary interest therein. The business address for Ms. von Tobel and each of the foregoing entities is 817 Broadway, 8th Floor, New York, NY 10003.</w:t>
      </w:r>
    </w:p>
    <w:p>
      <w:pPr>
        <w:spacing w:after="0" w:line="2"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128,647 shares held beneficially by Slow Ventures III-A, LP, (ii) 2,361,901 shares held beneficially by Slow Ventures III, LP (together, the Slow Ventures III Entities), (iii) 1,197,476 shares held beneficially by Slow Ventures Opportunity Fund I, L.P., and (iv) 1,299,988 shares owned by Slow Ventures Opportunity Fund II, LP (the Slow Ventures III Entities together with Slow Ventures Opportunity Fund I, L.P. and Slow Ventures Opportunity Fund II, L.P., collectively, the Slow Funds). Slow Ventures GP III, LLC is the general partner of each of the Slow Ventures III Entities. Slow Ventures Opportunity GP I, LLC is the general partner of Slow Ventures Opportunity Fund I, L.P. Slow Ventures Opportunity GP II, LLC is the general partner of Slow Ventures Opportunity Fund II, L.P. Slow Ventures, LLC serves as investment manager to each of the Slow Funds. Kevin Colleran serves as Managing Director of each of Slow Ventures GP III, LLC, Slow Ventures Opportunity GP I, LLC, and Slow Ventures Opportunity GP II, LLC and may be deemed to share voting and dispositive power over, and beneficially own, the shares held by each of the Slow Funds. Each of the foregoing persons and entities disclaims beneficial ownership of the reported shares except to the extent of his or its pecuniary interest therein. The business address for Mr. Colleran and each of the foregoing entities is 1006 Kearny Street, San Francisco, CA 94133.</w:t>
      </w:r>
    </w:p>
    <w:p>
      <w:pPr>
        <w:spacing w:after="0" w:line="4" w:lineRule="exact"/>
        <w:rPr>
          <w:rFonts w:ascii="Times New Roman" w:cs="Times New Roman" w:eastAsia="Times New Roman" w:hAnsi="Times New Roman"/>
          <w:sz w:val="18"/>
          <w:szCs w:val="18"/>
          <w:color w:val="auto"/>
        </w:rPr>
      </w:pPr>
    </w:p>
    <w:p>
      <w:pPr>
        <w:ind w:left="424" w:right="60" w:hanging="424"/>
        <w:spacing w:after="0" w:line="25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2,271,932 shares held beneficially by USV 2019, LP, (ii) 91,920 shares held beneficially by USV Bundled 2022, LP, (iii) 14,441 shares held beneficially by USV Bundled Investors 2022, LP, (iv) 106,739 shares held beneficially by USV Investors 2019, LP, and (v) 1,543,615 shares owned by USV Opportunity 2022, LP. USV 2019 GP, LLC is the general partner of each of USV 2019, LP and USV Investors 2019, LP and serves as investment manager to such funds. USV Opportunity 2022 GP, LLC is the general partner of USV Opportunity 2022, LP and serves as investment manager to such fund. USV Bundled 2022 GP, LLC is the general partner of each of USV Bundled 2022, LP and USV Bundled Investors 2022, LP and serves as investment manager to such funds. Each of USV 2019 GP, LLC, USV Opportunity 2022 GP, LLC, and USV Bundled 2022 GP, LLC may be deemed to share voting and dispositive power over, and beneficially own, the shares held by their respective funds. Each of the foregoing entities disclaims beneficial ownership of the reported shares except to the extent of its pecuniary interest therein. The business address for each of the foregoing entities is 817 Broadway, 14th Floor, New York, NY 10003.</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97" w:right="459" w:bottom="1440" w:gutter="0" w:footer="0" w:header="0"/>
        </w:sectPr>
      </w:pPr>
    </w:p>
    <w:bookmarkStart w:id="10" w:name="page11"/>
    <w:bookmarkEnd w:id="10"/>
    <w:p>
      <w:pPr>
        <w:ind w:left="424" w:right="260" w:hanging="424"/>
        <w:spacing w:after="0" w:line="255"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Hudson Bay Capital Management LP, the investment manager of HB Strategies LLC, has voting and investment power over these securities. Sander Gerber is the managing member of Hudson Bay Capital GP LLC, which is the general partner of Hudson Bay Capital Management LP. Each of HB Strategies LLC and Sander Gerber disclaims beneficial ownership over these securities. The address of HB Strategies LLC is c/o Hudson Bay Capital Management LP, 290 Harbor Drive, 3rd Floor, Stamford, CT 06902.</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27,174 shares issued in connection with the PIPE Investment.</w:t>
      </w:r>
    </w:p>
    <w:p>
      <w:pPr>
        <w:spacing w:after="0" w:line="9"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27,174 shares issued in connection with the PIPE Investment. Includes 148,000 options that will have vested within 60 days of June 18, 2026.</w:t>
      </w:r>
    </w:p>
    <w:p>
      <w:pPr>
        <w:ind w:left="424" w:right="10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27,174 shares issued in connection with the PIPE Investment. Includes 380,971 options that will have vested within 60 days of June 18, 2026.</w:t>
      </w:r>
    </w:p>
    <w:p>
      <w:pPr>
        <w:ind w:left="424" w:right="10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13,587 shares issued in connection with the PIPE Investment. Includes 202,956 options that will have vested within 60 days of June 18, 2026.</w:t>
      </w:r>
    </w:p>
    <w:p>
      <w:pPr>
        <w:ind w:left="424" w:right="10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13,587 shares issued in connection with the PIPE Investment. Includes 196,845 options that will have vested within 60 days of June 18, 2026.</w:t>
      </w: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11,870 shares in connection with the Teamshares SAFE Investment.</w:t>
      </w:r>
    </w:p>
    <w:p>
      <w:pPr>
        <w:spacing w:after="0" w:line="9" w:lineRule="exact"/>
        <w:rPr>
          <w:rFonts w:ascii="Times New Roman" w:cs="Times New Roman" w:eastAsia="Times New Roman" w:hAnsi="Times New Roman"/>
          <w:sz w:val="18"/>
          <w:szCs w:val="18"/>
          <w:color w:val="auto"/>
        </w:rPr>
      </w:pPr>
    </w:p>
    <w:p>
      <w:pPr>
        <w:ind w:left="424" w:right="120" w:hanging="424"/>
        <w:spacing w:after="0" w:line="25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1,674,765 unvested Deferred Founder Shares and Incentive Founder Shares subject to forfeiture if certain certain stock price thresholds are not achieved as detailed in the Sponsor Letter Agreement. The Sponsor is the record holder of such shares. Richard J. Hendrix, Live Oak’s Chief Executive Officer, is the managing member of the Sponsor and controls the management of the Sponsor, including the exercise of voting and investment discretion over the securities of Live Oak held by the Sponsor. Mr. Hendrix disclaims any beneficial ownership of the securities held by the Sponsor other than to the extent of any pecuniary interest he may have therein, directly or indirectly. All of Live Oak’s officers and directors and certain of their affiliates are direct or indirect members of the Sponsor. Each such person disclaims any beneficial ownership of the reported shares other than to the extent of any pecuniary interest they may have therein, directly or indirectly.</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p>
      <w:pPr>
        <w:spacing w:after="0" w:line="12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Upon the consummation of the Transactions, and in accordance with the terms of the Merger Agreement, each executive officer of Live Oak prior to the consummation of the Transactions ceased serving in such capacities, and the directors of Live Oak ceased serving on Live Oak’s board of directors, except as indicated below.</w:t>
      </w:r>
    </w:p>
    <w:p>
      <w:pPr>
        <w:spacing w:after="0" w:line="176"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On June 18, 2026, Michael Brown, Alex Eu, Richard J. Hendrix, Adam Fishman and Evan Moore were appointed as directors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to serve until their terms expire at the applicable annual meeting of stockholders and until their successors are elected and qualified. The Board was set at five (5) directors (classified into three classes with staggered three-year terms). Richard J. Hendrix was appointed as Chairman of the Board.</w:t>
      </w:r>
    </w:p>
    <w:p>
      <w:pPr>
        <w:spacing w:after="0" w:line="18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On June 18, 2026, the following individuals were appointed as executive officers of the Company: Michael Brown as Chief Executive Officer (principal executive officer), Brian Gaebe as Chief Financial Officer (principal financial officer and principal accounting officer), Madhuri Kommareddi as Chief Operating Officer, Alex Eu as President, and Kevin Shiiba as Chief Technology Officer.</w:t>
      </w:r>
    </w:p>
    <w:p>
      <w:pPr>
        <w:spacing w:after="0" w:line="174" w:lineRule="exact"/>
        <w:rPr>
          <w:sz w:val="20"/>
          <w:szCs w:val="20"/>
          <w:color w:val="auto"/>
        </w:rPr>
      </w:pPr>
    </w:p>
    <w:p>
      <w:pPr>
        <w:jc w:val="both"/>
        <w:ind w:left="4" w:right="560" w:firstLine="440"/>
        <w:spacing w:after="0" w:line="267" w:lineRule="auto"/>
        <w:rPr>
          <w:sz w:val="20"/>
          <w:szCs w:val="20"/>
          <w:color w:val="auto"/>
        </w:rPr>
      </w:pPr>
      <w:r>
        <w:rPr>
          <w:rFonts w:ascii="Times New Roman" w:cs="Times New Roman" w:eastAsia="Times New Roman" w:hAnsi="Times New Roman"/>
          <w:sz w:val="18"/>
          <w:szCs w:val="18"/>
          <w:color w:val="auto"/>
        </w:rPr>
        <w:t>Reference is also made to the disclosure described in the Proxy Statement/Prospectus in the section titled “</w:t>
      </w:r>
      <w:r>
        <w:rPr>
          <w:rFonts w:ascii="Times New Roman" w:cs="Times New Roman" w:eastAsia="Times New Roman" w:hAnsi="Times New Roman"/>
          <w:sz w:val="18"/>
          <w:szCs w:val="18"/>
          <w:i w:val="1"/>
          <w:iCs w:val="1"/>
          <w:color w:val="auto"/>
        </w:rPr>
        <w:t>Management After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for biographical information about each of the directors and officers, following the Transactions, which is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of Richard J. Hendrix, Adam Fishman and Evan Moore is deemed to be an independent director within the meaning of the listing rules of Nasdaq. Michael Brown and Alex Eu, as employees of the Company, are not considered independent.</w:t>
      </w:r>
    </w:p>
    <w:p>
      <w:pPr>
        <w:spacing w:after="0" w:line="200" w:lineRule="exact"/>
        <w:rPr>
          <w:sz w:val="20"/>
          <w:szCs w:val="20"/>
          <w:color w:val="auto"/>
        </w:rPr>
      </w:pPr>
    </w:p>
    <w:p>
      <w:pPr>
        <w:spacing w:after="0" w:line="25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97"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&amp; Director Compensation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executive and director compensation of the Company’s named executive officers and directors is described in the Proxy Statement/Prospectus in the section titled “</w:t>
      </w:r>
      <w:r>
        <w:rPr>
          <w:rFonts w:ascii="Times New Roman" w:cs="Times New Roman" w:eastAsia="Times New Roman" w:hAnsi="Times New Roman"/>
          <w:sz w:val="18"/>
          <w:szCs w:val="18"/>
          <w:i w:val="1"/>
          <w:iCs w:val="1"/>
          <w:color w:val="auto"/>
        </w:rPr>
        <w:t>Executive Compensation of Teamshares</w:t>
      </w:r>
      <w:r>
        <w:rPr>
          <w:rFonts w:ascii="Times New Roman" w:cs="Times New Roman" w:eastAsia="Times New Roman" w:hAnsi="Times New Roman"/>
          <w:sz w:val="18"/>
          <w:szCs w:val="18"/>
          <w:color w:val="auto"/>
        </w:rPr>
        <w:t>” and that information is incorporated herein by reference.</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Michael Brown (Chief Executive Officer), Brian Gaebe (Chief Financial Officer) and Madhuri Kommareddi (Chief Operating Officer).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Employment Agreements</w:t>
      </w:r>
    </w:p>
    <w:p>
      <w:pPr>
        <w:spacing w:after="0" w:line="11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employment agreements with each of its executive officers in May 2026, effective as of the Closing Date. The material terms of such employment agreements are described in the Proxy Statement/Prospectus in the section titled “Interests of Directors and Executive Officers in the Business Combination” and are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Interlocks and insider participation information regarding the Company’s executive officers is described in the Proxy Statement/Prospectus in the section titled “</w:t>
      </w:r>
      <w:r>
        <w:rPr>
          <w:rFonts w:ascii="Times New Roman" w:cs="Times New Roman" w:eastAsia="Times New Roman" w:hAnsi="Times New Roman"/>
          <w:sz w:val="18"/>
          <w:szCs w:val="18"/>
          <w:i w:val="1"/>
          <w:iCs w:val="1"/>
          <w:color w:val="auto"/>
        </w:rPr>
        <w:t>Management After the Business Combination—Compensation Committee Interlocks and Insider Participation</w:t>
      </w:r>
      <w:r>
        <w:rPr>
          <w:rFonts w:ascii="Times New Roman" w:cs="Times New Roman" w:eastAsia="Times New Roman" w:hAnsi="Times New Roman"/>
          <w:sz w:val="18"/>
          <w:szCs w:val="18"/>
          <w:color w:val="auto"/>
        </w:rPr>
        <w:t>” and that information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117"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Effective as of the Closing, the standing committees of the Board consist of an audit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a compensation committee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and a nominating and corporate governance committee (the “</w:t>
      </w:r>
      <w:r>
        <w:rPr>
          <w:rFonts w:ascii="Times New Roman" w:cs="Times New Roman" w:eastAsia="Times New Roman" w:hAnsi="Times New Roman"/>
          <w:sz w:val="18"/>
          <w:szCs w:val="18"/>
          <w:b w:val="1"/>
          <w:bCs w:val="1"/>
          <w:color w:val="auto"/>
        </w:rPr>
        <w:t>Nominating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Each of the committees reports to the Board.</w:t>
      </w:r>
    </w:p>
    <w:p>
      <w:pPr>
        <w:spacing w:after="0" w:line="17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Effective as of the Closing, the Board appointed Adam Fishman, Richard J. Hendrix and Evan Moore to serve on the Audit Committee, with Adam Fishman serving as chairperson and qualifying as an “audit committee financial expert,” as such term is defined in Item 407(d)(5) of Regulation S-K. All members of the Audit Committee meet the requirements for financial literacy under the applicable Nasdaq rules and regulations.</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Board also appointed Evan Moore, Richard J. Hendrix and Adam Fishman to serve on the Compensation Committee, with Evan Moore serving as chairperson.</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Board appointed Richard J. Hendrix, Adam Fishman and Evan Moore to serve on the Nominating and Corporate Governance Committee, with Richard J. Hendrix serving as chairperson.</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Each committee operates under a written charter adopted by the Board at Closing. Copies of the Audit Committee Charter, Compensation Committee Charter and Nominating and Corporate Governance Committee Charter are available on the Company’s website at www.teamshares.com. The Company has also adopted a Disclosure Committee Charter (a management-level disclosure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119"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Certain relationships and related party transactions of the Company are described in the Proxy Statement/Prospectus in the section titled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Relationships and Related Person Transactions</w:t>
      </w:r>
      <w:r>
        <w:rPr>
          <w:rFonts w:ascii="Times New Roman" w:cs="Times New Roman" w:eastAsia="Times New Roman" w:hAnsi="Times New Roman"/>
          <w:sz w:val="18"/>
          <w:szCs w:val="18"/>
          <w:color w:val="auto"/>
        </w:rPr>
        <w:t>” and that information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Reference is made to the disclosure regarding legal proceedings in the section of the Proxy Statement/Prospectus titled “</w:t>
      </w:r>
      <w:r>
        <w:rPr>
          <w:rFonts w:ascii="Times New Roman" w:cs="Times New Roman" w:eastAsia="Times New Roman" w:hAnsi="Times New Roman"/>
          <w:sz w:val="18"/>
          <w:szCs w:val="18"/>
          <w:i w:val="1"/>
          <w:iCs w:val="1"/>
          <w:color w:val="auto"/>
        </w:rPr>
        <w:t>Information About Live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Oak—Legal Proceedings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Information About Teamshares—Legal Proceedings</w:t>
      </w:r>
      <w:r>
        <w:rPr>
          <w:rFonts w:ascii="Times New Roman" w:cs="Times New Roman" w:eastAsia="Times New Roman" w:hAnsi="Times New Roman"/>
          <w:sz w:val="18"/>
          <w:szCs w:val="18"/>
          <w:color w:val="auto"/>
        </w:rPr>
        <w:t>”, which is incorporated herein by reference.</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93"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Market Price of and Dividends on the Registrant’s Common Equity and Related Stockholder Matters</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Live Oak’s Class A Ordinary Shares, Units and Public Warrants were historically quoted on Nasdaq under the symbols “LOKV,” “LOKVU” and “LOKVW,” respectively. On June 23, 2026, the Common Stock and Warrants began trading on Nasdaq under the new trading symbols “TMS” and “TMSWW”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has not paid any cash dividends on the Common Stock to date. The Company may retain future earnings, if any, for future operations, expansion and debt repayment and has no current plans to pay cash dividends for the foreseeable future. Any decision to declare and pay dividends in the future will be made at the discretion of the Board and will depend on, among other things, the Company’s results of operations, financial condition, cash requirements, contractual restrictions and other factors that the Board may deem relevant. In addition, the Company’s ability to pay dividends may be limited by covenants of any existing and future outstanding indebtedness the Company or its subsidiaries incur. The Company does not anticipate declaring any cash dividends to holders of the Common Stock in the foreseeable future.</w:t>
      </w:r>
    </w:p>
    <w:p>
      <w:pPr>
        <w:spacing w:after="0" w:line="185"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Information regarding the Company’s securities is described in the Proxy Statement/Prospectus in the section titled “</w:t>
      </w:r>
      <w:r>
        <w:rPr>
          <w:rFonts w:ascii="Times New Roman" w:cs="Times New Roman" w:eastAsia="Times New Roman" w:hAnsi="Times New Roman"/>
          <w:sz w:val="18"/>
          <w:szCs w:val="18"/>
          <w:i w:val="1"/>
          <w:iCs w:val="1"/>
          <w:color w:val="auto"/>
        </w:rPr>
        <w:t>Market Price and 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Securities of the Combined Company</w:t>
      </w:r>
      <w:r>
        <w:rPr>
          <w:rFonts w:ascii="Times New Roman" w:cs="Times New Roman" w:eastAsia="Times New Roman" w:hAnsi="Times New Roman"/>
          <w:sz w:val="18"/>
          <w:szCs w:val="18"/>
          <w:color w:val="auto"/>
        </w:rPr>
        <w:t>” and such information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21"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Company has initially reserved approximately 5,039,004 shares of Common Stock for issuance pursuant to the 2026 Incentive Plan (as defined below), subject to certain adjustments set forth therein. Additionally, the Company has initially reserved approximately 1,439,715 shares of Common Stock for issuance pursuant to the ESPP (as defined below), subject to certain adjustments set forth therein.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Items 1.01 and 3.02 of this Current Report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Registrant’s Securities to Be Registered</w:t>
      </w:r>
    </w:p>
    <w:p>
      <w:pPr>
        <w:spacing w:after="0" w:line="12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As of June 18, 2026, following the completion of the Transactions, there were approximately 71,985,774 shares of Common Stock issued and outstanding held of record by 37 holders, and 16,000,000 Warrants outstanding held of record by two holders. Such amounts do not include DTC participants or beneficial owners holding shares through nominee names.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7"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A description of the Common Stock is included in the Proxy Statement/Prospectus in the section titled “</w:t>
      </w:r>
      <w:r>
        <w:rPr>
          <w:rFonts w:ascii="Times New Roman" w:cs="Times New Roman" w:eastAsia="Times New Roman" w:hAnsi="Times New Roman"/>
          <w:sz w:val="18"/>
          <w:szCs w:val="18"/>
          <w:i w:val="1"/>
          <w:iCs w:val="1"/>
          <w:color w:val="auto"/>
        </w:rPr>
        <w:t>Description of Securities of the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Company—Common Stock</w:t>
      </w:r>
      <w:r>
        <w:rPr>
          <w:rFonts w:ascii="Times New Roman" w:cs="Times New Roman" w:eastAsia="Times New Roman" w:hAnsi="Times New Roman"/>
          <w:sz w:val="18"/>
          <w:szCs w:val="18"/>
          <w:color w:val="auto"/>
        </w:rPr>
        <w:t>”,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 description of the Company’s Warrants is included in the Proxy Statement/Prospectus in the sections titled “</w:t>
      </w:r>
      <w:r>
        <w:rPr>
          <w:rFonts w:ascii="Times New Roman" w:cs="Times New Roman" w:eastAsia="Times New Roman" w:hAnsi="Times New Roman"/>
          <w:sz w:val="18"/>
          <w:szCs w:val="18"/>
          <w:i w:val="1"/>
          <w:iCs w:val="1"/>
          <w:color w:val="auto"/>
        </w:rPr>
        <w:t>Description of Securities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Combined 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Person Transactions—Live Oak</w:t>
      </w:r>
      <w:r>
        <w:rPr>
          <w:rFonts w:ascii="Times New Roman" w:cs="Times New Roman" w:eastAsia="Times New Roman" w:hAnsi="Times New Roman"/>
          <w:sz w:val="18"/>
          <w:szCs w:val="18"/>
          <w:color w:val="auto"/>
        </w:rPr>
        <w:t>”, which is incorporated herein by reference. Each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entitles the holder to purchase one share of Common Stock at an initial exercise price of $11.50 per share, subject to adjustment. The Warrants will become exercisable 30 days after the Closing and will expire five years after the Closing, or earlier upon redemption or liquidation.</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93"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Indemnification of Directors and Officers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about indemnification of the Company’s directors and officers is set forth in the Proxy Statement/Prospectus in the section titled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 After the Business Combination—Limitation on Liability and Indemnification of Directors and Officers</w:t>
      </w:r>
      <w:r>
        <w:rPr>
          <w:rFonts w:ascii="Times New Roman" w:cs="Times New Roman" w:eastAsia="Times New Roman" w:hAnsi="Times New Roman"/>
          <w:sz w:val="18"/>
          <w:szCs w:val="18"/>
          <w:color w:val="auto"/>
        </w:rPr>
        <w:t>”, which is incorporated herein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The disclosure set forth in Item 1.01 of this Current Report under the section titled “</w:t>
      </w:r>
      <w:r>
        <w:rPr>
          <w:rFonts w:ascii="Times New Roman" w:cs="Times New Roman" w:eastAsia="Times New Roman" w:hAnsi="Times New Roman"/>
          <w:sz w:val="18"/>
          <w:szCs w:val="18"/>
          <w:i w:val="1"/>
          <w:iCs w:val="1"/>
          <w:color w:val="auto"/>
        </w:rPr>
        <w:t>Indemnification Agreements</w:t>
      </w:r>
      <w:r>
        <w:rPr>
          <w:rFonts w:ascii="Times New Roman" w:cs="Times New Roman" w:eastAsia="Times New Roman" w:hAnsi="Times New Roman"/>
          <w:sz w:val="18"/>
          <w:szCs w:val="18"/>
          <w:color w:val="auto"/>
        </w:rPr>
        <w:t>” is also incorporated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reference.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9.01 of this Current Report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4.01 of this Current Report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19"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color w:val="auto"/>
        </w:rPr>
        <w:t>The disclosure set forth in the “</w:t>
      </w:r>
      <w:r>
        <w:rPr>
          <w:rFonts w:ascii="Times New Roman" w:cs="Times New Roman" w:eastAsia="Times New Roman" w:hAnsi="Times New Roman"/>
          <w:sz w:val="18"/>
          <w:szCs w:val="18"/>
          <w:i w:val="1"/>
          <w:iCs w:val="1"/>
          <w:color w:val="auto"/>
        </w:rPr>
        <w:t>Introductory Note</w:t>
      </w:r>
      <w:r>
        <w:rPr>
          <w:rFonts w:ascii="Times New Roman" w:cs="Times New Roman" w:eastAsia="Times New Roman" w:hAnsi="Times New Roman"/>
          <w:sz w:val="18"/>
          <w:szCs w:val="18"/>
          <w:color w:val="auto"/>
        </w:rPr>
        <w:t>” above and in Item 1.01 of this Current Report under the caption “Subscription Agreements” is incorporated into this Item 3.02 by reference.</w:t>
      </w:r>
    </w:p>
    <w:p>
      <w:pPr>
        <w:spacing w:after="0" w:line="16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PIPE Shares issued by the Company in connection with the PIPE Investment have not been registered under the Securities Act, in reliance on the exemption from registration provided by Section 4(a)(2) of the Securities Act.</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Any shares of Common Stock issued or issuable to the Seller pursuant to the Forward Purchase Agreement described in Item 1.01 of this Current Report were, or will be, issued in reliance on the exemption from registration provided by Section 4(a)(2) of the Securities Act.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5.03 of this Current Report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8"/>
          <w:szCs w:val="18"/>
          <w:b w:val="1"/>
          <w:bCs w:val="1"/>
          <w:color w:val="auto"/>
        </w:rPr>
        <w:t>Change in Registrant’s Certifying Accountant.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For accounting purposes, the transactions contemplated by the Merger Agreement are treated as a reverse recapitalization and, as such, the historical financial statements of the accounting acquirer, Legacy Teamshares, which have been audited by KPMG LLP (“</w:t>
      </w:r>
      <w:r>
        <w:rPr>
          <w:rFonts w:ascii="Times New Roman" w:cs="Times New Roman" w:eastAsia="Times New Roman" w:hAnsi="Times New Roman"/>
          <w:sz w:val="18"/>
          <w:szCs w:val="18"/>
          <w:b w:val="1"/>
          <w:bCs w:val="1"/>
          <w:color w:val="auto"/>
        </w:rPr>
        <w:t>KPMG</w:t>
      </w:r>
      <w:r>
        <w:rPr>
          <w:rFonts w:ascii="Times New Roman" w:cs="Times New Roman" w:eastAsia="Times New Roman" w:hAnsi="Times New Roman"/>
          <w:sz w:val="18"/>
          <w:szCs w:val="18"/>
          <w:color w:val="auto"/>
        </w:rPr>
        <w:t>”), will become the historical financial statements of the Company. In a reverse recapitalization, a change of accountants is presumed to have occurred unless the same accountant audited the pre-transaction financial statements of both the legal acquirer and the accounting acquirer, and such change is generally presumed to occur on the date the reverse recapitalization is completed.</w:t>
      </w:r>
    </w:p>
    <w:p>
      <w:pPr>
        <w:spacing w:after="0" w:line="89"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Dismissal of independent registered public accounting firm.</w:t>
      </w:r>
    </w:p>
    <w:p>
      <w:pPr>
        <w:spacing w:after="0" w:line="22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On June 18, 2026, the Audit Committee dismissed 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Live Oak’s independent registered public accounting firm prior to consummation of the Transactions, as the Company’s independent registered public accounting firm effective immediately.</w:t>
      </w:r>
    </w:p>
    <w:p>
      <w:pPr>
        <w:spacing w:after="0" w:line="159"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reports of Withum on Live Oak’s financial statements as of and for the fiscal year ended December 31, 2025 and for the period from November 27, 2024 (inception) through December 31, 2024, did not contain an adverse opinion or a disclaimer of opinion, and were not otherwise qualified or modified as to uncertainties, audit scope or accounting principles, except as follows: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Withum’s report on the consolidated financial statements of Live Oak and subsidiaries as of and for the years ended December 31, 2025 and for the period from November 27, 2024 (inception) through December 31, 2024, contained a separate paragraph stating that “if the Company is unable to complete a business combination by March 3, 2027, then the Company will cease all operations except for the purpose of liquidating. The date for mandatory liquidation and subsequent dissolution raises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93" w:right="459" w:bottom="1440" w:gutter="0" w:footer="0" w:header="0"/>
        </w:sectPr>
      </w:pPr>
    </w:p>
    <w:bookmarkStart w:id="14" w:name="page15"/>
    <w:bookmarkEnd w:id="14"/>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During the period from November 27, 2024 (inception) through December 31, 2024,the year ended December 31, 2025, and subsequent interim period through June 18, 2026 there were no (1) ‘disagreements’ (within the meaning of Item 304(a)(1)(iv) of Regulation S-K and related instructions under the Exchange Act) between Live Oak and Withum on any matter of accounting principles or practices, financial statement disclosure, or auditing scope or procedures, which disagreements, if not resolved to Withum’s satisfaction, would have caused Withum to make reference to the subject matter of the disagreement in its reports on Live Oak’s financial statements for such period; or (2) ‘reportable events’ (as defined in Item 304(a)(1)(v) of Regulation S-K under the Exchange Act).</w:t>
      </w:r>
    </w:p>
    <w:p>
      <w:pPr>
        <w:spacing w:after="0" w:line="187"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has provided Withum with a copy of the foregoing disclosures and has requested that Withum furnish the Company with a letter addressed to the SEC stating whether it agrees with the statements made by the Company set forth above. A copy of Withum’s letter, dated June 18, 2026, is filed as Exhibit 16.1 to this Current Report and is incorporated herein by reference.</w:t>
      </w:r>
    </w:p>
    <w:p>
      <w:pPr>
        <w:spacing w:after="0" w:line="81" w:lineRule="exact"/>
        <w:rPr>
          <w:sz w:val="20"/>
          <w:szCs w:val="20"/>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Disclosures regarding the appointment of new independent registered public accounting firm.</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On June 18, 2026, the Audit Committee approved the engagement of KPMG as the Company’s independent registered public accounting firm to audit the Company’s consolidated financial statements for the year ending December 31, 2026. KPMG has served as the independent registered public accounting firm for Legacy Teamshares prior to the consummation of the Transactions. During the period from November 27, 2024 (inception) through December 31, 2025, and subsequent interim period through June 18, 2026, neither Live Oak nor anyone on Live Oak’s behalf consulted with KPMG with respect to (i) the application of accounting principles to a specified transaction, either completed or proposed, the type of audit opinion that might be rendered on the Company’s financial statements, and neither a written report nor oral advice was provided to the Company that KPMG concluded was an important factor considered by the Company in reaching a decision as to any accounting, auditing or financial reporting issue, or (ii) any other matter that was either the subject of a disagreement or a reportable event (each as defined in Item 304(a)(1)(v) of Regulation S-K under the Exchange Act).</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19"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The information set forth above in the section titled “</w:t>
      </w:r>
      <w:r>
        <w:rPr>
          <w:rFonts w:ascii="Times New Roman" w:cs="Times New Roman" w:eastAsia="Times New Roman" w:hAnsi="Times New Roman"/>
          <w:sz w:val="18"/>
          <w:szCs w:val="18"/>
          <w:i w:val="1"/>
          <w:iCs w:val="1"/>
          <w:color w:val="auto"/>
        </w:rPr>
        <w:t>Directors and Executive Officers</w:t>
      </w:r>
      <w:r>
        <w:rPr>
          <w:rFonts w:ascii="Times New Roman" w:cs="Times New Roman" w:eastAsia="Times New Roman" w:hAnsi="Times New Roman"/>
          <w:sz w:val="18"/>
          <w:szCs w:val="18"/>
          <w:color w:val="auto"/>
        </w:rPr>
        <w:t>” in Item 2.01 to this Current Report is incorporated in this Item 5.01 by reference. See also the section of the Proxy Statement/Prospectus titled “</w:t>
      </w:r>
      <w:r>
        <w:rPr>
          <w:rFonts w:ascii="Times New Roman" w:cs="Times New Roman" w:eastAsia="Times New Roman" w:hAnsi="Times New Roman"/>
          <w:sz w:val="18"/>
          <w:szCs w:val="18"/>
          <w:i w:val="1"/>
          <w:iCs w:val="1"/>
          <w:color w:val="auto"/>
        </w:rPr>
        <w:t>Executive Compensation of Teamshares</w:t>
      </w:r>
      <w:r>
        <w:rPr>
          <w:rFonts w:ascii="Times New Roman" w:cs="Times New Roman" w:eastAsia="Times New Roman" w:hAnsi="Times New Roman"/>
          <w:sz w:val="18"/>
          <w:szCs w:val="18"/>
          <w:color w:val="auto"/>
        </w:rPr>
        <w:t>” for a description of compensation arrangements with the Company’s executives and directors, which is incorporated herein by reference.</w:t>
      </w:r>
    </w:p>
    <w:p>
      <w:pPr>
        <w:sectPr>
          <w:pgSz w:w="11900" w:h="16838" w:orient="portrait"/>
          <w:cols w:equalWidth="0" w:num="1">
            <w:col w:w="11000"/>
          </w:cols>
          <w:pgMar w:left="440" w:top="297" w:right="45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ectPr>
          <w:pgSz w:w="11900" w:h="16838" w:orient="portrait"/>
          <w:cols w:equalWidth="0" w:num="2">
            <w:col w:w="760" w:space="440"/>
            <w:col w:w="9800"/>
          </w:cols>
          <w:pgMar w:left="440" w:top="29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information set forth above in the sections titled “</w:t>
      </w:r>
      <w:r>
        <w:rPr>
          <w:rFonts w:ascii="Times New Roman" w:cs="Times New Roman" w:eastAsia="Times New Roman" w:hAnsi="Times New Roman"/>
          <w:sz w:val="18"/>
          <w:szCs w:val="18"/>
          <w:i w:val="1"/>
          <w:iCs w:val="1"/>
          <w:color w:val="auto"/>
        </w:rPr>
        <w:t>Directors and Executive Officers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Executive &amp; Director Compensation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Committees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Board of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in Item 2.01 to this Current Report is incorporated in this Item 5.02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 See also the sections of the Proxy Statement/Prospectus titled “</w:t>
      </w:r>
      <w:r>
        <w:rPr>
          <w:rFonts w:ascii="Times New Roman" w:cs="Times New Roman" w:eastAsia="Times New Roman" w:hAnsi="Times New Roman"/>
          <w:sz w:val="18"/>
          <w:szCs w:val="18"/>
          <w:i w:val="1"/>
          <w:iCs w:val="1"/>
          <w:color w:val="auto"/>
        </w:rPr>
        <w:t>Executive Compensation of Teamshares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“Interests of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Business Combination</w:t>
      </w:r>
      <w:r>
        <w:rPr>
          <w:rFonts w:ascii="Times New Roman" w:cs="Times New Roman" w:eastAsia="Times New Roman" w:hAnsi="Times New Roman"/>
          <w:sz w:val="18"/>
          <w:szCs w:val="18"/>
          <w:color w:val="auto"/>
        </w:rPr>
        <w:t>” for a description of compensation arrangements with the Company’s executive officers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incorporated herein by reference.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Teamshares Inc. 2026 Incentive Award Plan</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At the Extraordinary General Meeting, the shareholders of Live Oak considered and approved the Teamshares Inc. 2026 Incentive Award Plan (the “</w:t>
      </w:r>
      <w:r>
        <w:rPr>
          <w:rFonts w:ascii="Times New Roman" w:cs="Times New Roman" w:eastAsia="Times New Roman" w:hAnsi="Times New Roman"/>
          <w:sz w:val="18"/>
          <w:szCs w:val="18"/>
          <w:b w:val="1"/>
          <w:bCs w:val="1"/>
          <w:color w:val="auto"/>
        </w:rPr>
        <w:t>2026 Incentive Plan</w:t>
      </w:r>
      <w:r>
        <w:rPr>
          <w:rFonts w:ascii="Times New Roman" w:cs="Times New Roman" w:eastAsia="Times New Roman" w:hAnsi="Times New Roman"/>
          <w:sz w:val="18"/>
          <w:szCs w:val="18"/>
          <w:color w:val="auto"/>
        </w:rPr>
        <w:t>”), under which the Company and its affiliates may grant cash and equity incentive awards to its eligible service providers in order to attract and retain key personnel. The 2026 Incentive Plan was approved by the Live Oak shareholders on June 16, 2026 and was ratified and approved by the Board on June 18, 2026, and became effective upon the Closing Date. The initial share reserve under the 2026 Incentive Plan is 5,039,004 shares, which generally is equal to 7% of the number of shares of Common Stock outstanding immediately following the Closing, with an annual increase on January 1 of each year from 2027 through 2036 equal to (i) 4% of the aggregate number of shares of Common Stock outstanding on the final day of the immediately preceding calendar year, or (ii) such smaller number of shares as determined by the Board.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97" w:right="459" w:bottom="1440" w:gutter="0" w:footer="0" w:header="0"/>
          <w:type w:val="continuous"/>
        </w:sectPr>
      </w:pPr>
    </w:p>
    <w:bookmarkStart w:id="15" w:name="page16"/>
    <w:bookmarkEnd w:id="15"/>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 summary of the terms of the 2026 Incentive Plan is set forth in the Proxy Statement/Prospectus in the section titled “</w:t>
      </w:r>
      <w:r>
        <w:rPr>
          <w:rFonts w:ascii="Times New Roman" w:cs="Times New Roman" w:eastAsia="Times New Roman" w:hAnsi="Times New Roman"/>
          <w:sz w:val="18"/>
          <w:szCs w:val="18"/>
          <w:i w:val="1"/>
          <w:iCs w:val="1"/>
          <w:color w:val="auto"/>
        </w:rPr>
        <w:t>The Incentive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(Proposal 10)</w:t>
      </w:r>
      <w:r>
        <w:rPr>
          <w:rFonts w:ascii="Times New Roman" w:cs="Times New Roman" w:eastAsia="Times New Roman" w:hAnsi="Times New Roman"/>
          <w:sz w:val="18"/>
          <w:szCs w:val="18"/>
          <w:color w:val="auto"/>
        </w:rPr>
        <w:t>”, which is incorporated herein by reference. Such summary and the foregoing description of the 2026 Incentive Plan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in their entirety by reference to the full text of the 2026 Incentive Plan, a copy of which is attached hereto as Exhibit 10.10 and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Teamshares Inc. 2026 Employee Stock Purchase Plan</w:t>
      </w:r>
    </w:p>
    <w:p>
      <w:pPr>
        <w:spacing w:after="0" w:line="121"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At the Extraordinary General Meeting, the shareholders of Live Oak considered and approved the Teamshares Inc. 2026 Employee Stock Purchase Plan (the “</w:t>
      </w:r>
      <w:r>
        <w:rPr>
          <w:rFonts w:ascii="Times New Roman" w:cs="Times New Roman" w:eastAsia="Times New Roman" w:hAnsi="Times New Roman"/>
          <w:sz w:val="17"/>
          <w:szCs w:val="17"/>
          <w:b w:val="1"/>
          <w:bCs w:val="1"/>
          <w:color w:val="auto"/>
        </w:rPr>
        <w:t>ESPP</w:t>
      </w:r>
      <w:r>
        <w:rPr>
          <w:rFonts w:ascii="Times New Roman" w:cs="Times New Roman" w:eastAsia="Times New Roman" w:hAnsi="Times New Roman"/>
          <w:sz w:val="17"/>
          <w:szCs w:val="17"/>
          <w:color w:val="auto"/>
        </w:rPr>
        <w:t>”), which provides employees of the Company and its participating subsidiaries with the opportunity to purchase shares of Common Stock at a discount through accumulated payroll deductions during successive offering periods. The ESPP was approved by the Live Oak shareholders on June 16, 2026 and was ratified and approved by the Board on June 18, 2026, and became effective upon the Closing Date. The initial share reserve under the ESPP is 1,439,715 shares, which generally is equal to 2% of the number of shares of Common Stock outstanding immediately following the Closing, with an annual increase on January 1 of each year from 2027 through 2036 equal to (i) 1% of the aggregate number of shares of Common Stock outstanding on the final day of the immediately preceding calendar year, or (ii) such smaller number of shares as determined by the Board.</w:t>
      </w:r>
    </w:p>
    <w:p>
      <w:pPr>
        <w:spacing w:after="0" w:line="169" w:lineRule="exact"/>
        <w:rPr>
          <w:sz w:val="20"/>
          <w:szCs w:val="20"/>
          <w:color w:val="auto"/>
        </w:rPr>
      </w:pPr>
    </w:p>
    <w:p>
      <w:pPr>
        <w:jc w:val="both"/>
        <w:ind w:right="440" w:firstLine="440"/>
        <w:spacing w:after="0" w:line="267" w:lineRule="auto"/>
        <w:rPr>
          <w:sz w:val="20"/>
          <w:szCs w:val="20"/>
          <w:color w:val="auto"/>
        </w:rPr>
      </w:pPr>
      <w:r>
        <w:rPr>
          <w:rFonts w:ascii="Times New Roman" w:cs="Times New Roman" w:eastAsia="Times New Roman" w:hAnsi="Times New Roman"/>
          <w:sz w:val="18"/>
          <w:szCs w:val="18"/>
          <w:color w:val="auto"/>
        </w:rPr>
        <w:t>A summary of the terms of the ESPP is set forth in the Proxy Statement/Prospectus in the section titled “</w:t>
      </w:r>
      <w:r>
        <w:rPr>
          <w:rFonts w:ascii="Times New Roman" w:cs="Times New Roman" w:eastAsia="Times New Roman" w:hAnsi="Times New Roman"/>
          <w:sz w:val="18"/>
          <w:szCs w:val="18"/>
          <w:i w:val="1"/>
          <w:iCs w:val="1"/>
          <w:color w:val="auto"/>
        </w:rPr>
        <w:t>The Employee Stock Purchase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(Proposal 11)</w:t>
      </w:r>
      <w:r>
        <w:rPr>
          <w:rFonts w:ascii="Times New Roman" w:cs="Times New Roman" w:eastAsia="Times New Roman" w:hAnsi="Times New Roman"/>
          <w:sz w:val="18"/>
          <w:szCs w:val="18"/>
          <w:color w:val="auto"/>
        </w:rPr>
        <w:t>”, which is incorporated herein by reference. Such summary and the foregoing description of the ESPP are qualified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entirety by reference to the full text of the ESPP, a copy of which is attached hereto as Exhibit 10.11 and incorporated herein by reference.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Teamshares Inc. 2020 Equity Incentive Plan</w:t>
      </w:r>
    </w:p>
    <w:p>
      <w:pPr>
        <w:spacing w:after="0" w:line="121"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Transactions, the Company assumed the Teamshares Inc. 2020 Equity Incentive Plan, as amended (the “</w:t>
      </w:r>
      <w:r>
        <w:rPr>
          <w:rFonts w:ascii="Times New Roman" w:cs="Times New Roman" w:eastAsia="Times New Roman" w:hAnsi="Times New Roman"/>
          <w:sz w:val="18"/>
          <w:szCs w:val="18"/>
          <w:b w:val="1"/>
          <w:bCs w:val="1"/>
          <w:color w:val="auto"/>
        </w:rPr>
        <w:t>2020 Plan</w:t>
      </w:r>
      <w:r>
        <w:rPr>
          <w:rFonts w:ascii="Times New Roman" w:cs="Times New Roman" w:eastAsia="Times New Roman" w:hAnsi="Times New Roman"/>
          <w:sz w:val="18"/>
          <w:szCs w:val="18"/>
          <w:color w:val="auto"/>
        </w:rPr>
        <w:t>”) from Legacy Teamshares and, thereafter, terminated the 2020 Plan upon effectiveness of the 2026 Incentive Plan. However, any outstanding awards granted under the 2020 Plan will remain outstanding, subject to the terms of the 2020 Plan and applicable award agreements. An aggregate of 1,643,244 shares were authorized under the 2020 Plan.</w:t>
      </w:r>
    </w:p>
    <w:p>
      <w:pPr>
        <w:spacing w:after="0" w:line="178"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A summary of the terms of the 2020 Plan is set forth in the Proxy Statement/Prospectus in the section titled “</w:t>
      </w:r>
      <w:r>
        <w:rPr>
          <w:rFonts w:ascii="Times New Roman" w:cs="Times New Roman" w:eastAsia="Times New Roman" w:hAnsi="Times New Roman"/>
          <w:sz w:val="18"/>
          <w:szCs w:val="18"/>
          <w:i w:val="1"/>
          <w:iCs w:val="1"/>
          <w:color w:val="auto"/>
        </w:rPr>
        <w:t>Executive Compensation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Teamshares—Equity Incentive Plan</w:t>
      </w:r>
      <w:r>
        <w:rPr>
          <w:rFonts w:ascii="Times New Roman" w:cs="Times New Roman" w:eastAsia="Times New Roman" w:hAnsi="Times New Roman"/>
          <w:sz w:val="18"/>
          <w:szCs w:val="18"/>
          <w:color w:val="auto"/>
        </w:rPr>
        <w:t>”, which is incorporated herein by reference. Such summary and the foregoing description of the 2020 Plan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in their entirety by reference to the full text of the 2020 Plan, a copy of which is attached hereto as Exhibit 10.12 and incorporated herein by reference.</w:t>
      </w:r>
    </w:p>
    <w:p>
      <w:pPr>
        <w:spacing w:after="0" w:line="32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disclosure set forth in Item 3.03 of this Current Report is incorporated in this Item 5.03 by reference.</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description of the Certificate of Incorporation and the general effect upon the rights of holders of the Company’s capital stock are included in the Proxy Statement/Prospectus in the sections titled “</w:t>
      </w:r>
      <w:r>
        <w:rPr>
          <w:rFonts w:ascii="Times New Roman" w:cs="Times New Roman" w:eastAsia="Times New Roman" w:hAnsi="Times New Roman"/>
          <w:sz w:val="18"/>
          <w:szCs w:val="18"/>
          <w:i w:val="1"/>
          <w:iCs w:val="1"/>
          <w:color w:val="auto"/>
        </w:rPr>
        <w:t>The Domestication Proposal (Proposal 2)</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Organizational Documents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 4-9)</w:t>
      </w:r>
      <w:r>
        <w:rPr>
          <w:rFonts w:ascii="Times New Roman" w:cs="Times New Roman" w:eastAsia="Times New Roman" w:hAnsi="Times New Roman"/>
          <w:sz w:val="18"/>
          <w:szCs w:val="18"/>
          <w:color w:val="auto"/>
        </w:rPr>
        <w:t>”, which are incorporated by reference herein. Copies of the Certificate of Incorporation and the Bylaws are filed as Exhibit 3.1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Exhibit 3.2 hereto, respectively, and are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5.05.</w:t>
      </w:r>
      <w:r>
        <w:rPr>
          <w:sz w:val="20"/>
          <w:szCs w:val="20"/>
          <w:color w:val="auto"/>
        </w:rPr>
        <w:tab/>
      </w:r>
      <w:r>
        <w:rPr>
          <w:rFonts w:ascii="Times New Roman" w:cs="Times New Roman" w:eastAsia="Times New Roman" w:hAnsi="Times New Roman"/>
          <w:sz w:val="18"/>
          <w:szCs w:val="18"/>
          <w:b w:val="1"/>
          <w:bCs w:val="1"/>
          <w:color w:val="auto"/>
        </w:rPr>
        <w:t>Amendments to the Registrant’s Code of Ethics, or Waiver of a Provision of the Code of Ethics.</w:t>
      </w:r>
    </w:p>
    <w:p>
      <w:pPr>
        <w:spacing w:after="0" w:line="12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on the Closing Date, the Board approved and adopted a new Code of Business Conduct &amp; Ethics applicable to all employees, officers and directors of the Company. A copy of the Code of Business Conduct &amp; Ethics can be found at the Company’s website at www.teamshares.com.</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95" w:right="439" w:bottom="1440" w:gutter="0" w:footer="0" w:header="0"/>
        </w:sectPr>
      </w:pPr>
    </w:p>
    <w:bookmarkStart w:id="16" w:name="page17"/>
    <w:bookmarkEnd w:id="16"/>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5.06.</w:t>
      </w:r>
      <w:r>
        <w:rPr>
          <w:sz w:val="20"/>
          <w:szCs w:val="20"/>
          <w:color w:val="auto"/>
        </w:rPr>
        <w:tab/>
      </w:r>
      <w:r>
        <w:rPr>
          <w:rFonts w:ascii="Times New Roman" w:cs="Times New Roman" w:eastAsia="Times New Roman" w:hAnsi="Times New Roman"/>
          <w:sz w:val="18"/>
          <w:szCs w:val="18"/>
          <w:b w:val="1"/>
          <w:bCs w:val="1"/>
          <w:color w:val="auto"/>
        </w:rPr>
        <w:t>Change in Shell Company Status.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a result of the Transactions, Live Oak ceased being a shell company (as defined in Rule 12b-2 of the Exchange Act) as of the Closing.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Reference is made to the disclosure in the Proxy Statement/Prospectus in the sections titled “</w:t>
      </w:r>
      <w:r>
        <w:rPr>
          <w:rFonts w:ascii="Times New Roman" w:cs="Times New Roman" w:eastAsia="Times New Roman" w:hAnsi="Times New Roman"/>
          <w:sz w:val="18"/>
          <w:szCs w:val="18"/>
          <w:i w:val="1"/>
          <w:iCs w:val="1"/>
          <w:color w:val="auto"/>
        </w:rPr>
        <w:t>The Business Combination Proposal (Proposal 1)</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Proposal No. 2—The Domestication Proposal</w:t>
      </w:r>
      <w:r>
        <w:rPr>
          <w:rFonts w:ascii="Times New Roman" w:cs="Times New Roman" w:eastAsia="Times New Roman" w:hAnsi="Times New Roman"/>
          <w:sz w:val="18"/>
          <w:szCs w:val="18"/>
          <w:color w:val="auto"/>
        </w:rPr>
        <w:t>” which are incorporated herein by reference. Further, the information set forth in the Introductory Note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under Item 2.01 of this Current Report is incorporated herein by reference.</w:t>
      </w:r>
    </w:p>
    <w:p>
      <w:pPr>
        <w:spacing w:after="0" w:line="35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On June 19, 2026, the Company issued a press release announcing the completion of the Business Combination, a copy of which is furnished as Exhibit 99.2 hereto.</w:t>
      </w:r>
    </w:p>
    <w:p>
      <w:pPr>
        <w:spacing w:after="0" w:line="162"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information set forth in this Item 8.01 (including Exhibit 99.2)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44" w:right="7280" w:hanging="444"/>
        <w:spacing w:after="0" w:line="400" w:lineRule="auto"/>
        <w:tabs>
          <w:tab w:leader="none" w:pos="258"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of Businesses Acquired. </w:t>
      </w:r>
      <w:r>
        <w:rPr>
          <w:rFonts w:ascii="Times New Roman" w:cs="Times New Roman" w:eastAsia="Times New Roman" w:hAnsi="Times New Roman"/>
          <w:sz w:val="17"/>
          <w:szCs w:val="17"/>
          <w:i w:val="1"/>
          <w:iCs w:val="1"/>
          <w:color w:val="auto"/>
        </w:rPr>
        <w:t>Consolidated Financial Statements</w:t>
      </w: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balance sheets of Live Oak as of December 31, 2025 and 2024, and the related consolidated statements of operations and comprehensive income, shareholders’ equity and cash flows for the year ended December 31, 2025 and for the period from November 27, 2024 (inception) through December 31, 2024, together with the related notes and the report of independent registered public accounting firm, included in the Proxy Statement/Prospectus in the section titled “</w:t>
      </w:r>
      <w:r>
        <w:rPr>
          <w:rFonts w:ascii="Times New Roman" w:cs="Times New Roman" w:eastAsia="Times New Roman" w:hAnsi="Times New Roman"/>
          <w:sz w:val="18"/>
          <w:szCs w:val="18"/>
          <w:i w:val="1"/>
          <w:iCs w:val="1"/>
          <w:color w:val="auto"/>
        </w:rPr>
        <w:t>Index to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Live Oak Acquisition Corp. V</w:t>
      </w:r>
      <w:r>
        <w:rPr>
          <w:rFonts w:ascii="Times New Roman" w:cs="Times New Roman" w:eastAsia="Times New Roman" w:hAnsi="Times New Roman"/>
          <w:sz w:val="18"/>
          <w:szCs w:val="18"/>
          <w:color w:val="auto"/>
        </w:rPr>
        <w:t>” are incorporated herein by reference.</w:t>
      </w:r>
    </w:p>
    <w:p>
      <w:pPr>
        <w:spacing w:after="0" w:line="180"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balance sheet of Live Oak as of March 31, 2026, and the related condensed consolidated statements of operations and comprehensive income, shareholders’ equity and cash flows for the three months ended March 31, 2026, together with the related notes thereto, included in the Proxy Statement/Prospectus in the section titled “</w:t>
      </w:r>
      <w:r>
        <w:rPr>
          <w:rFonts w:ascii="Times New Roman" w:cs="Times New Roman" w:eastAsia="Times New Roman" w:hAnsi="Times New Roman"/>
          <w:sz w:val="18"/>
          <w:szCs w:val="18"/>
          <w:i w:val="1"/>
          <w:iCs w:val="1"/>
          <w:color w:val="auto"/>
        </w:rPr>
        <w:t>Index to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Live Oak Acquisition Corp. V</w:t>
      </w:r>
      <w:r>
        <w:rPr>
          <w:rFonts w:ascii="Times New Roman" w:cs="Times New Roman" w:eastAsia="Times New Roman" w:hAnsi="Times New Roman"/>
          <w:sz w:val="18"/>
          <w:szCs w:val="18"/>
          <w:color w:val="auto"/>
        </w:rPr>
        <w:t>” are incorporated herein by reference.</w:t>
      </w:r>
    </w:p>
    <w:p>
      <w:pPr>
        <w:spacing w:after="0" w:line="180"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balance sheets of Legacy Teamshares as of December 31, 2025 and 2024, and the related consolidated statements of operations and comprehensive income, shareholders’ equity and cash flows for the year ended December 31, 2025 and 2024, together with the related notes and the report of independent registered public accounting firm, included in the Proxy Statement/Prospectus in the section titled “</w:t>
      </w:r>
      <w:r>
        <w:rPr>
          <w:rFonts w:ascii="Times New Roman" w:cs="Times New Roman" w:eastAsia="Times New Roman" w:hAnsi="Times New Roman"/>
          <w:sz w:val="18"/>
          <w:szCs w:val="18"/>
          <w:i w:val="1"/>
          <w:iCs w:val="1"/>
          <w:color w:val="auto"/>
        </w:rPr>
        <w:t>Index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 of Teamshares Inc.</w:t>
      </w:r>
      <w:r>
        <w:rPr>
          <w:rFonts w:ascii="Times New Roman" w:cs="Times New Roman" w:eastAsia="Times New Roman" w:hAnsi="Times New Roman"/>
          <w:sz w:val="18"/>
          <w:szCs w:val="18"/>
          <w:color w:val="auto"/>
        </w:rPr>
        <w:t>” are incorporated herein by reference.</w:t>
      </w:r>
    </w:p>
    <w:p>
      <w:pPr>
        <w:spacing w:after="0" w:line="180"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balance sheet of Legacy Teamshares as of March 31, 2026, and the related condensed consolidated statements of operations and comprehensive income, shareholders’ equity and cash flows for the three months ended March 31, 2026, together with the related notes thereto, included in the Proxy Statement/Prospectus in the section titled “</w:t>
      </w:r>
      <w:r>
        <w:rPr>
          <w:rFonts w:ascii="Times New Roman" w:cs="Times New Roman" w:eastAsia="Times New Roman" w:hAnsi="Times New Roman"/>
          <w:sz w:val="18"/>
          <w:szCs w:val="18"/>
          <w:i w:val="1"/>
          <w:iCs w:val="1"/>
          <w:color w:val="auto"/>
        </w:rPr>
        <w:t>Index to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Teamshares Inc.</w:t>
      </w:r>
      <w:r>
        <w:rPr>
          <w:rFonts w:ascii="Times New Roman" w:cs="Times New Roman" w:eastAsia="Times New Roman" w:hAnsi="Times New Roman"/>
          <w:sz w:val="18"/>
          <w:szCs w:val="18"/>
          <w:color w:val="auto"/>
        </w:rPr>
        <w:t>” are incorporated herein by reference.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119" w:lineRule="exact"/>
        <w:rPr>
          <w:sz w:val="20"/>
          <w:szCs w:val="20"/>
          <w:color w:val="auto"/>
        </w:rPr>
      </w:pP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the Company as of and for the year ended December 31, 2025 is included in the Proxy Statement/Prospectus in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beginning on page 90 of the Proxy Statement/Prospectus and is incorporated herein by reference.</w:t>
      </w:r>
    </w:p>
    <w:p>
      <w:pPr>
        <w:spacing w:after="0" w:line="200" w:lineRule="exact"/>
        <w:rPr>
          <w:sz w:val="20"/>
          <w:szCs w:val="20"/>
          <w:color w:val="auto"/>
        </w:rPr>
      </w:pPr>
    </w:p>
    <w:p>
      <w:pPr>
        <w:spacing w:after="0" w:line="2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93" w:right="459" w:bottom="1440" w:gutter="0" w:footer="0" w:header="0"/>
        </w:sectPr>
      </w:pPr>
    </w:p>
    <w:bookmarkStart w:id="17" w:name="page18"/>
    <w:bookmarkEnd w:id="17"/>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unaudited pro forma condensed combined financial statements of the Company as of and for the three months ended March 31, 2026, are filed with this Current Report on Form 8-K as Exhibit 99.1 and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84" w:type="dxa"/>
        <w:tblCellMar>
          <w:top w:w="0" w:type="dxa"/>
          <w:left w:w="0" w:type="dxa"/>
          <w:bottom w:w="0" w:type="dxa"/>
          <w:right w:w="0" w:type="dxa"/>
        </w:tblCellMar>
      </w:tblPr>
      <w:tr>
        <w:trPr>
          <w:trHeight w:val="161"/>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8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-10160</wp:posOffset>
            </wp:positionV>
            <wp:extent cx="2825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66" w:lineRule="exact"/>
        <w:rPr>
          <w:sz w:val="20"/>
          <w:szCs w:val="20"/>
          <w:color w:val="auto"/>
        </w:rPr>
      </w:pPr>
    </w:p>
    <w:p>
      <w:pPr>
        <w:ind w:left="1044" w:right="20" w:hanging="1044"/>
        <w:spacing w:after="0" w:line="266" w:lineRule="auto"/>
        <w:tabs>
          <w:tab w:leader="none" w:pos="95" w:val="left"/>
        </w:tabs>
        <w:numPr>
          <w:ilvl w:val="0"/>
          <w:numId w:val="1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hyperlink r:id="rId36">
        <w:r>
          <w:rPr>
            <w:rFonts w:ascii="Times New Roman" w:cs="Times New Roman" w:eastAsia="Times New Roman" w:hAnsi="Times New Roman"/>
            <w:sz w:val="18"/>
            <w:szCs w:val="18"/>
            <w:u w:val="single" w:color="auto"/>
            <w:color w:val="0000EE"/>
          </w:rPr>
          <w:t>Agreement and Plan of Merger, dated as of November 14, 2025, by and among Live Oak, Teamshares, Merger Sub, Merger Sub II, the</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SPAC Representative and the Seller Representative (incorporated herein by reference to Live Oak’s Current Report on Form 8-K filed on</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November 14, 2025)</w:t>
        </w:r>
      </w:hyperlink>
    </w:p>
    <w:p>
      <w:pPr>
        <w:spacing w:after="0" w:line="55" w:lineRule="exact"/>
        <w:rPr>
          <w:rFonts w:ascii="Times New Roman" w:cs="Times New Roman" w:eastAsia="Times New Roman" w:hAnsi="Times New Roman"/>
          <w:sz w:val="18"/>
          <w:szCs w:val="18"/>
          <w:u w:val="single" w:color="auto"/>
          <w:color w:val="0000EE"/>
        </w:rPr>
      </w:pPr>
    </w:p>
    <w:tbl>
      <w:tblPr>
        <w:tblLayout w:type="fixed"/>
        <w:tblInd w:w="4"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99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First Amendment to the Agreement and Plan of Merger, dated as of April 1, 2026, by and among Live Oak and Teamshares (incorporated</w:t>
              </w:r>
            </w:hyperlink>
          </w:p>
        </w:tc>
      </w:tr>
      <w:tr>
        <w:trPr>
          <w:trHeight w:val="196"/>
        </w:trPr>
        <w:tc>
          <w:tcPr>
            <w:tcW w:w="1040" w:type="dxa"/>
            <w:vAlign w:val="bottom"/>
          </w:tcPr>
          <w:p>
            <w:pPr>
              <w:spacing w:after="0"/>
              <w:rPr>
                <w:sz w:val="17"/>
                <w:szCs w:val="17"/>
                <w:color w:val="auto"/>
              </w:rPr>
            </w:pPr>
          </w:p>
        </w:tc>
        <w:tc>
          <w:tcPr>
            <w:tcW w:w="62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herein by reference to Live Oak’s Current Report on Form 8-K filed on April 2, 2026)</w:t>
              </w:r>
            </w:hyperlink>
          </w:p>
        </w:tc>
        <w:tc>
          <w:tcPr>
            <w:tcW w:w="3700" w:type="dxa"/>
            <w:vAlign w:val="bottom"/>
            <w:gridSpan w:val="21"/>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9900" w:type="dxa"/>
            <w:vAlign w:val="bottom"/>
            <w:gridSpan w:val="27"/>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Second Amendment to the Agreement and Plan of Merger, dated as of May 13, 2026, by and among Live Oak and Teamshares</w:t>
              </w:r>
            </w:hyperlink>
          </w:p>
        </w:tc>
      </w:tr>
      <w:tr>
        <w:trPr>
          <w:trHeight w:val="196"/>
        </w:trPr>
        <w:tc>
          <w:tcPr>
            <w:tcW w:w="1040" w:type="dxa"/>
            <w:vAlign w:val="bottom"/>
          </w:tcPr>
          <w:p>
            <w:pPr>
              <w:spacing w:after="0"/>
              <w:rPr>
                <w:sz w:val="17"/>
                <w:szCs w:val="17"/>
                <w:color w:val="auto"/>
              </w:rPr>
            </w:pPr>
          </w:p>
        </w:tc>
        <w:tc>
          <w:tcPr>
            <w:tcW w:w="91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(incorporated herein by reference to Live Oak’s Current Report on Form 8-K filed on May 13, 2026)</w:t>
              </w:r>
            </w:hyperlink>
          </w:p>
        </w:tc>
        <w:tc>
          <w:tcPr>
            <w:tcW w:w="780" w:type="dxa"/>
            <w:vAlign w:val="bottom"/>
            <w:gridSpan w:val="1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88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Amended and Restated Certificate of Incorporation of Teamshares Inc. (including Certificate of Corporate Domestication).</w:t>
            </w:r>
          </w:p>
        </w:tc>
        <w:tc>
          <w:tcPr>
            <w:tcW w:w="1020" w:type="dxa"/>
            <w:vAlign w:val="bottom"/>
            <w:gridSpan w:val="14"/>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9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Bylaws of Teamshares Inc.</w:t>
            </w:r>
          </w:p>
        </w:tc>
      </w:tr>
      <w:tr>
        <w:trPr>
          <w:trHeight w:val="20"/>
        </w:trPr>
        <w:tc>
          <w:tcPr>
            <w:tcW w:w="104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900" w:type="dxa"/>
            <w:vAlign w:val="bottom"/>
            <w:gridSpan w:val="27"/>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Warrant Agreement, dated February 27, 2025, by and between Live Oak and CST, as warrant agent (incorporated herein by reference to</w:t>
              </w:r>
            </w:hyperlink>
          </w:p>
        </w:tc>
      </w:tr>
      <w:tr>
        <w:trPr>
          <w:trHeight w:val="196"/>
        </w:trPr>
        <w:tc>
          <w:tcPr>
            <w:tcW w:w="1040" w:type="dxa"/>
            <w:vAlign w:val="bottom"/>
          </w:tcPr>
          <w:p>
            <w:pPr>
              <w:spacing w:after="0"/>
              <w:rPr>
                <w:sz w:val="17"/>
                <w:szCs w:val="17"/>
                <w:color w:val="auto"/>
              </w:rPr>
            </w:pPr>
          </w:p>
        </w:tc>
        <w:tc>
          <w:tcPr>
            <w:tcW w:w="97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Live Oak’s Current Report on Form 8-K filed on March 4, 2025)</w:t>
              </w:r>
            </w:hyperlink>
          </w:p>
        </w:tc>
        <w:tc>
          <w:tcPr>
            <w:tcW w:w="140" w:type="dxa"/>
            <w:vAlign w:val="bottom"/>
            <w:gridSpan w:val="4"/>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46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Specimen Common Stock Certificate of Teamshares Inc.</w:t>
            </w:r>
          </w:p>
        </w:tc>
        <w:tc>
          <w:tcPr>
            <w:tcW w:w="5240" w:type="dxa"/>
            <w:vAlign w:val="bottom"/>
            <w:gridSpan w:val="22"/>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00" w:type="dxa"/>
            <w:vAlign w:val="bottom"/>
            <w:gridSpan w:val="27"/>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Indemnification Agreement between Teamshares Inc. and each of its directors and executive officers (incorporated by reference</w:t>
              </w:r>
            </w:hyperlink>
          </w:p>
        </w:tc>
      </w:tr>
      <w:tr>
        <w:trPr>
          <w:trHeight w:val="196"/>
        </w:trPr>
        <w:tc>
          <w:tcPr>
            <w:tcW w:w="1040" w:type="dxa"/>
            <w:vAlign w:val="bottom"/>
          </w:tcPr>
          <w:p>
            <w:pPr>
              <w:spacing w:after="0"/>
              <w:rPr>
                <w:sz w:val="17"/>
                <w:szCs w:val="17"/>
                <w:color w:val="auto"/>
              </w:rPr>
            </w:pPr>
          </w:p>
        </w:tc>
        <w:tc>
          <w:tcPr>
            <w:tcW w:w="98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to Exhibit 10.14 of the Company’s Registration Statement on Form S-4 (File No. 333-294869), filed with the SEC on May 22, 2026).</w:t>
              </w:r>
            </w:hyperlink>
          </w:p>
        </w:tc>
        <w:tc>
          <w:tcPr>
            <w:tcW w:w="8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56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10.2(a)+</w:t>
            </w:r>
          </w:p>
        </w:tc>
        <w:tc>
          <w:tcPr>
            <w:tcW w:w="98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First Insider Letter Amendment, dated as of November 14, 2025, by and among Live Oak and its officers and directors, the Sponsor and</w:t>
              </w:r>
            </w:hyperlink>
          </w:p>
        </w:tc>
        <w:tc>
          <w:tcPr>
            <w:tcW w:w="10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00" w:type="dxa"/>
            <w:vAlign w:val="bottom"/>
            <w:gridSpan w:val="2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Teamshares (incorporated herein by reference to Live Oak’s Current Report on Form 8-K filed on November 14, 2025)</w:t>
              </w:r>
            </w:hyperlink>
          </w:p>
        </w:tc>
      </w:tr>
      <w:tr>
        <w:trPr>
          <w:trHeight w:val="20"/>
        </w:trPr>
        <w:tc>
          <w:tcPr>
            <w:tcW w:w="104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56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10.2(b)+</w:t>
            </w:r>
          </w:p>
        </w:tc>
        <w:tc>
          <w:tcPr>
            <w:tcW w:w="9900" w:type="dxa"/>
            <w:vAlign w:val="bottom"/>
            <w:gridSpan w:val="27"/>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Second Insider Letter Amendment, dated as of April 1, 2026, by and among Live Oak and its officers and directors, the Sponsor and</w:t>
              </w:r>
            </w:hyperlink>
          </w:p>
        </w:tc>
      </w:tr>
      <w:tr>
        <w:trPr>
          <w:trHeight w:val="196"/>
        </w:trPr>
        <w:tc>
          <w:tcPr>
            <w:tcW w:w="1040" w:type="dxa"/>
            <w:vAlign w:val="bottom"/>
          </w:tcPr>
          <w:p>
            <w:pPr>
              <w:spacing w:after="0"/>
              <w:rPr>
                <w:sz w:val="17"/>
                <w:szCs w:val="17"/>
                <w:color w:val="auto"/>
              </w:rPr>
            </w:pPr>
          </w:p>
        </w:tc>
        <w:tc>
          <w:tcPr>
            <w:tcW w:w="81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Teamshares (incorporated herein by reference to Live Oak’s Current Report on Form 8-K filed on April 2, 2026)</w:t>
              </w:r>
            </w:hyperlink>
          </w:p>
        </w:tc>
        <w:tc>
          <w:tcPr>
            <w:tcW w:w="1420" w:type="dxa"/>
            <w:vAlign w:val="bottom"/>
            <w:tcBorders>
              <w:top w:val="single" w:sz="8" w:color="0000EE"/>
            </w:tcBorders>
            <w:gridSpan w:val="10"/>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4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Form of Lock-Up Agreement, dated as of November 14, 2025, by and among Live Oak, the Sponsor and the Significant Company</w:t>
              </w:r>
            </w:hyperlink>
          </w:p>
        </w:tc>
        <w:tc>
          <w:tcPr>
            <w:tcW w:w="50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3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Holders. (incorporated herein by reference to Live Oak’s Current Report on Form 8-K filed on November 14, 2025)</w:t>
              </w:r>
            </w:hyperlink>
          </w:p>
        </w:tc>
        <w:tc>
          <w:tcPr>
            <w:tcW w:w="1560" w:type="dxa"/>
            <w:vAlign w:val="bottom"/>
            <w:gridSpan w:val="17"/>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27"/>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of Lock-Up Agreement, dated as of November 14, 2025, by and among Live Oak, the Sponsor and the members of Teamshares’</w:t>
              </w:r>
            </w:hyperlink>
          </w:p>
        </w:tc>
      </w:tr>
      <w:tr>
        <w:trPr>
          <w:trHeight w:val="196"/>
        </w:trPr>
        <w:tc>
          <w:tcPr>
            <w:tcW w:w="1040" w:type="dxa"/>
            <w:vAlign w:val="bottom"/>
          </w:tcPr>
          <w:p>
            <w:pPr>
              <w:spacing w:after="0"/>
              <w:rPr>
                <w:sz w:val="17"/>
                <w:szCs w:val="17"/>
                <w:color w:val="auto"/>
              </w:rPr>
            </w:pPr>
          </w:p>
        </w:tc>
        <w:tc>
          <w:tcPr>
            <w:tcW w:w="86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management (incorporated herein by reference to Live Oak’s Current Report on Form 8-K filed on November 14, 2025)</w:t>
              </w:r>
            </w:hyperlink>
          </w:p>
        </w:tc>
        <w:tc>
          <w:tcPr>
            <w:tcW w:w="1020" w:type="dxa"/>
            <w:vAlign w:val="bottom"/>
            <w:tcBorders>
              <w:top w:val="single" w:sz="8" w:color="0000EE"/>
            </w:tcBorders>
            <w:gridSpan w:val="9"/>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Employee Lock-Up Agreement.</w:t>
            </w:r>
          </w:p>
        </w:tc>
        <w:tc>
          <w:tcPr>
            <w:tcW w:w="6960" w:type="dxa"/>
            <w:vAlign w:val="bottom"/>
            <w:gridSpan w:val="25"/>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900" w:type="dxa"/>
            <w:vAlign w:val="bottom"/>
            <w:gridSpan w:val="27"/>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Amended and Restated Registration Rights Agreement, dated as of June 18, 2026, by and among Teamshares Inc. and each of the</w:t>
              </w:r>
            </w:hyperlink>
          </w:p>
        </w:tc>
      </w:tr>
      <w:tr>
        <w:trPr>
          <w:trHeight w:val="20"/>
        </w:trPr>
        <w:tc>
          <w:tcPr>
            <w:tcW w:w="1040" w:type="dxa"/>
            <w:vAlign w:val="bottom"/>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4560" w:type="dxa"/>
            <w:vAlign w:val="bottom"/>
            <w:gridSpan w:val="5"/>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00" w:type="dxa"/>
            <w:vAlign w:val="bottom"/>
            <w:gridSpan w:val="27"/>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stockholders of Teamshares Inc. identified on the signature pages thereto (incorporated herein by reference to Live Oak’s Current Report</w:t>
              </w:r>
            </w:hyperlink>
          </w:p>
        </w:tc>
      </w:tr>
      <w:tr>
        <w:trPr>
          <w:trHeight w:val="196"/>
        </w:trPr>
        <w:tc>
          <w:tcPr>
            <w:tcW w:w="104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on Form 8-K filed on November 14, 2025).</w:t>
              </w:r>
            </w:hyperlink>
          </w:p>
        </w:tc>
        <w:tc>
          <w:tcPr>
            <w:tcW w:w="6720" w:type="dxa"/>
            <w:vAlign w:val="bottom"/>
            <w:tcBorders>
              <w:top w:val="single" w:sz="8" w:color="0000EE"/>
            </w:tcBorders>
            <w:gridSpan w:val="23"/>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900" w:type="dxa"/>
            <w:vAlign w:val="bottom"/>
            <w:gridSpan w:val="27"/>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Voting and Support Agreement, dated as of November 14, 2025, by and among Live Oak, Teamshares and the Significant</w:t>
              </w:r>
            </w:hyperlink>
          </w:p>
        </w:tc>
      </w:tr>
      <w:tr>
        <w:trPr>
          <w:trHeight w:val="196"/>
        </w:trPr>
        <w:tc>
          <w:tcPr>
            <w:tcW w:w="104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Company Holders (incorporated herein by reference to Live Oak’s Current Report on Form 8-K filed on November 14, 2025)</w:t>
              </w:r>
            </w:hyperlink>
          </w:p>
        </w:tc>
        <w:tc>
          <w:tcPr>
            <w:tcW w:w="340" w:type="dxa"/>
            <w:vAlign w:val="bottom"/>
            <w:tcBorders>
              <w:top w:val="single" w:sz="8" w:color="0000EE"/>
            </w:tcBorders>
            <w:gridSpan w:val="3"/>
          </w:tcPr>
          <w:p>
            <w:pPr>
              <w:spacing w:after="0"/>
              <w:rPr>
                <w:sz w:val="17"/>
                <w:szCs w:val="17"/>
                <w:color w:val="auto"/>
              </w:rPr>
            </w:pPr>
          </w:p>
        </w:tc>
        <w:tc>
          <w:tcPr>
            <w:tcW w:w="520" w:type="dxa"/>
            <w:vAlign w:val="bottom"/>
            <w:gridSpan w:val="10"/>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900" w:type="dxa"/>
            <w:vAlign w:val="bottom"/>
            <w:gridSpan w:val="27"/>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PIPE Subscription Agreement, dated as of November 14, 2025, by and among the Live Oak and certain investors party thereto</w:t>
              </w:r>
            </w:hyperlink>
          </w:p>
        </w:tc>
      </w:tr>
      <w:tr>
        <w:trPr>
          <w:trHeight w:val="196"/>
        </w:trPr>
        <w:tc>
          <w:tcPr>
            <w:tcW w:w="1040" w:type="dxa"/>
            <w:vAlign w:val="bottom"/>
          </w:tcPr>
          <w:p>
            <w:pPr>
              <w:spacing w:after="0"/>
              <w:rPr>
                <w:sz w:val="17"/>
                <w:szCs w:val="17"/>
                <w:color w:val="auto"/>
              </w:rPr>
            </w:pPr>
          </w:p>
        </w:tc>
        <w:tc>
          <w:tcPr>
            <w:tcW w:w="97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(incorporated herein by reference to Live Oak’s Current Report on Form 8-K filed on November 14, 2025)</w:t>
              </w:r>
            </w:hyperlink>
          </w:p>
        </w:tc>
        <w:tc>
          <w:tcPr>
            <w:tcW w:w="180" w:type="dxa"/>
            <w:vAlign w:val="bottom"/>
            <w:gridSpan w:val="5"/>
          </w:tcPr>
          <w:p>
            <w:pPr>
              <w:spacing w:after="0"/>
              <w:rPr>
                <w:sz w:val="17"/>
                <w:szCs w:val="17"/>
                <w:color w:val="auto"/>
              </w:rPr>
            </w:pPr>
          </w:p>
        </w:tc>
      </w:tr>
      <w:tr>
        <w:trPr>
          <w:trHeight w:val="750"/>
        </w:trPr>
        <w:tc>
          <w:tcPr>
            <w:tcW w:w="1040" w:type="dxa"/>
            <w:vAlign w:val="bottom"/>
          </w:tcPr>
          <w:p>
            <w:pPr>
              <w:spacing w:after="0"/>
              <w:rPr>
                <w:sz w:val="24"/>
                <w:szCs w:val="24"/>
                <w:color w:val="auto"/>
              </w:rPr>
            </w:pPr>
          </w:p>
        </w:tc>
        <w:tc>
          <w:tcPr>
            <w:tcW w:w="4660" w:type="dxa"/>
            <w:vAlign w:val="bottom"/>
            <w:tcBorders>
              <w:top w:val="single" w:sz="8" w:color="0000EE"/>
            </w:tcBorders>
            <w:gridSpan w:val="5"/>
          </w:tcPr>
          <w:p>
            <w:pPr>
              <w:ind w:left="4380"/>
              <w:spacing w:after="0"/>
              <w:rPr>
                <w:sz w:val="20"/>
                <w:szCs w:val="20"/>
                <w:color w:val="auto"/>
              </w:rPr>
            </w:pPr>
            <w:r>
              <w:rPr>
                <w:rFonts w:ascii="Times New Roman" w:cs="Times New Roman" w:eastAsia="Times New Roman" w:hAnsi="Times New Roman"/>
                <w:sz w:val="18"/>
                <w:szCs w:val="18"/>
                <w:color w:val="auto"/>
              </w:rPr>
              <w:t>17</w:t>
            </w:r>
          </w:p>
        </w:tc>
        <w:tc>
          <w:tcPr>
            <w:tcW w:w="15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44"/>
          </w:cols>
          <w:pgMar w:left="436" w:top="297" w:right="51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9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0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40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24"/>
                <w:szCs w:val="24"/>
                <w:color w:val="auto"/>
              </w:rPr>
            </w:pPr>
          </w:p>
        </w:tc>
        <w:tc>
          <w:tcPr>
            <w:tcW w:w="97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Forward Purchase Agreement dated June 1, 2026, by and between Live Oak Acquisition Corp. V and HB Strategies LLC (incorporated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40" w:type="dxa"/>
            <w:vAlign w:val="bottom"/>
            <w:gridSpan w:val="17"/>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herein by reference to Live Oak’s Current Report on Form 8-K filed on June 2, 2026)</w:t>
              </w:r>
            </w:hyperlink>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500" w:type="dxa"/>
            <w:vAlign w:val="bottom"/>
          </w:tcPr>
          <w:p>
            <w:pPr>
              <w:spacing w:after="0"/>
              <w:rPr>
                <w:sz w:val="24"/>
                <w:szCs w:val="24"/>
                <w:color w:val="auto"/>
              </w:rPr>
            </w:pPr>
          </w:p>
        </w:tc>
        <w:tc>
          <w:tcPr>
            <w:tcW w:w="61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Teamshares Inc. 2026 Incentive Award Plan.</w:t>
            </w:r>
          </w:p>
        </w:tc>
        <w:tc>
          <w:tcPr>
            <w:tcW w:w="36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10.10(a)</w:t>
            </w: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Stock Option Agreement under the Teamshares Inc. 2026 Incentive Award Plan.</w:t>
            </w:r>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10.10(b)</w:t>
            </w:r>
          </w:p>
        </w:tc>
        <w:tc>
          <w:tcPr>
            <w:tcW w:w="70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Agreement under the Teamshares Inc. 2026 Incentive Award Plan.</w:t>
            </w:r>
          </w:p>
        </w:tc>
        <w:tc>
          <w:tcPr>
            <w:tcW w:w="27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0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Teamshares Inc. 2026 Employee Stock Purchase Plan.</w:t>
            </w: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500" w:type="dxa"/>
            <w:vAlign w:val="bottom"/>
          </w:tcPr>
          <w:p>
            <w:pPr>
              <w:spacing w:after="0"/>
              <w:rPr>
                <w:sz w:val="24"/>
                <w:szCs w:val="24"/>
                <w:color w:val="auto"/>
              </w:rPr>
            </w:pPr>
          </w:p>
        </w:tc>
        <w:tc>
          <w:tcPr>
            <w:tcW w:w="32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Teamshares Inc. 2020 Equity Incentive Plan.</w:t>
            </w:r>
          </w:p>
        </w:tc>
        <w:tc>
          <w:tcPr>
            <w:tcW w:w="680" w:type="dxa"/>
            <w:vAlign w:val="bottom"/>
            <w:tcBorders>
              <w:top w:val="single" w:sz="8" w:color="0000EE"/>
            </w:tcBorders>
          </w:tcPr>
          <w:p>
            <w:pPr>
              <w:spacing w:after="0"/>
              <w:rPr>
                <w:sz w:val="24"/>
                <w:szCs w:val="24"/>
                <w:color w:val="auto"/>
              </w:rPr>
            </w:pPr>
          </w:p>
        </w:tc>
        <w:tc>
          <w:tcPr>
            <w:tcW w:w="58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50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Stock Option Agreement under the Teamshares Inc. 2020 Equity Incentive Plan.</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50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Employment Agreement, dated as of May 16, 2026, between Michael Brown and Teamshares Inc.</w:t>
            </w: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500" w:type="dxa"/>
            <w:vAlign w:val="bottom"/>
          </w:tcPr>
          <w:p>
            <w:pPr>
              <w:spacing w:after="0"/>
              <w:rPr>
                <w:sz w:val="24"/>
                <w:szCs w:val="24"/>
                <w:color w:val="auto"/>
              </w:rPr>
            </w:pPr>
          </w:p>
        </w:tc>
        <w:tc>
          <w:tcPr>
            <w:tcW w:w="70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Employment Agreement, dated as of May 16, 2026, between Brian Gaebe and Teamshares Inc.</w:t>
            </w:r>
          </w:p>
        </w:tc>
        <w:tc>
          <w:tcPr>
            <w:tcW w:w="2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500" w:type="dxa"/>
            <w:vAlign w:val="bottom"/>
          </w:tcPr>
          <w:p>
            <w:pPr>
              <w:spacing w:after="0"/>
              <w:rPr>
                <w:sz w:val="24"/>
                <w:szCs w:val="24"/>
                <w:color w:val="auto"/>
              </w:rPr>
            </w:pPr>
          </w:p>
        </w:tc>
        <w:tc>
          <w:tcPr>
            <w:tcW w:w="75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Employment Agreement, dated as of May 16, 2026, between Madhuri Kommareddi and Teamshares Inc.</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50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Non-Redemption Agreement.</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16.1</w:t>
            </w:r>
          </w:p>
        </w:tc>
        <w:tc>
          <w:tcPr>
            <w:tcW w:w="500" w:type="dxa"/>
            <w:vAlign w:val="bottom"/>
          </w:tcPr>
          <w:p>
            <w:pPr>
              <w:spacing w:after="0"/>
              <w:rPr>
                <w:sz w:val="24"/>
                <w:szCs w:val="24"/>
                <w:color w:val="auto"/>
              </w:rPr>
            </w:pPr>
          </w:p>
        </w:tc>
        <w:tc>
          <w:tcPr>
            <w:tcW w:w="5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Letter from WithumSmith+Brown, PC to the SEC, dated June 18, 2026.</w:t>
            </w:r>
          </w:p>
        </w:tc>
        <w:tc>
          <w:tcPr>
            <w:tcW w:w="4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50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List of Subsidiaries of Teamshares Inc.</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97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 of the Company as of March 31, 2026, and for the three months ended</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March 31, 2026.</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60" w:type="dxa"/>
            <w:vAlign w:val="bottom"/>
            <w:gridSpan w:val="11"/>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99.2</w:t>
            </w:r>
          </w:p>
        </w:tc>
        <w:tc>
          <w:tcPr>
            <w:tcW w:w="50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Press Release, dated June 19, 2026, announcing the closing of the Business Combination.</w:t>
            </w:r>
          </w:p>
        </w:tc>
        <w:tc>
          <w:tcPr>
            <w:tcW w:w="0" w:type="dxa"/>
            <w:vAlign w:val="bottom"/>
          </w:tcPr>
          <w:p>
            <w:pPr>
              <w:spacing w:after="0"/>
              <w:rPr>
                <w:sz w:val="1"/>
                <w:szCs w:val="1"/>
                <w:color w:val="auto"/>
              </w:rPr>
            </w:pPr>
          </w:p>
        </w:tc>
      </w:tr>
      <w:tr>
        <w:trPr>
          <w:trHeight w:val="34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64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60" w:hanging="424"/>
        <w:spacing w:after="0" w:line="261"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this Exhibit have been omitted pursuant to Item 601(b)(2) of Regulation S-K. The Registrant hereby agrees to furnish supplementally a copy of any omitted annex, schedule or exhibit to the SEC upon request.</w:t>
      </w: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39"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84"/>
          </w:cols>
          <w:pgMar w:left="436" w:top="278" w:right="679" w:bottom="1440" w:gutter="0" w:footer="0" w:header="0"/>
        </w:sectPr>
      </w:pPr>
    </w:p>
    <w:bookmarkStart w:id="19" w:name="page20"/>
    <w:bookmarkEnd w:id="1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Current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TEAMSHARES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Gaebe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Brian Gaebe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80"/>
          </w:cols>
          <w:pgMar w:left="440" w:top="293" w:right="57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 OAK ACQUISITION CORP. V</w:t>
      </w:r>
    </w:p>
    <w:p>
      <w:pPr>
        <w:spacing w:after="0" w:line="20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Live Oak Acquisition Corp. V, a corporation organized and existing under and by virtue of the provisions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2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That the name of this corporation is Live Oak Acquisition Corp. V and that the original certificate of incorporation was filed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State of the State of Delaware on June 16, 2026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That the Board of Directors duly adopted resolutions proposing to amend and restate the Certificate of Incorporation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as amended, declaring said amendment and restatement to be advisable and in the best interests of this corporation and its stockholders, and authorizing the appropriate officers of this corporation to solicit the consent of the stockholders therefore, which resolution setting fort the proposed amendment and restatement is as follows: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Certificate of Incorporation of this corporation, as amended, be amended and restated in its entirety as follows:</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Teamshares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 Wilmington, County of New Castle, DE 19808, and the name of its registered agent at such address is Corporation Service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 as it now exists or may hereafter be amended and supplemented. The Corporation was incorporated in connection with the domestication and continuation of Live Oak Acquisition Corp. V, a Cayman Islands exempted company limited by shares (“</w:t>
      </w:r>
      <w:r>
        <w:rPr>
          <w:rFonts w:ascii="Times New Roman" w:cs="Times New Roman" w:eastAsia="Times New Roman" w:hAnsi="Times New Roman"/>
          <w:sz w:val="18"/>
          <w:szCs w:val="18"/>
          <w:u w:val="single" w:color="auto"/>
          <w:color w:val="auto"/>
        </w:rPr>
        <w:t>Live Oak</w:t>
      </w:r>
      <w:r>
        <w:rPr>
          <w:rFonts w:ascii="Times New Roman" w:cs="Times New Roman" w:eastAsia="Times New Roman" w:hAnsi="Times New Roman"/>
          <w:sz w:val="18"/>
          <w:szCs w:val="18"/>
          <w:color w:val="auto"/>
        </w:rPr>
        <w:t>”), as a Delaware corporation pursuant to Section 388 of the DGCL, and the Corporation’s original Certificate of Incorporation was filed simultaneously with the Certificate of Corporate Domestication of Live Oak (the “</w:t>
      </w:r>
      <w:r>
        <w:rPr>
          <w:rFonts w:ascii="Times New Roman" w:cs="Times New Roman" w:eastAsia="Times New Roman" w:hAnsi="Times New Roman"/>
          <w:sz w:val="18"/>
          <w:szCs w:val="18"/>
          <w:u w:val="single" w:color="auto"/>
          <w:color w:val="auto"/>
        </w:rPr>
        <w:t>Certificate of Domestication</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total number of shares of capital stock which the Corporation shall have authority to issue is 500,000,000. The total number of shares of Common Stock that the Corporation is authorized to issue is 450,000,000, having a par value of $0.0001 per share, and the total number of shares of Preferred Stock that the Corporation is authorized to issue is 50,000,000, having a par value of $0.0001 per share.</w:t>
      </w:r>
    </w:p>
    <w:p>
      <w:pPr>
        <w:spacing w:after="0" w:line="180" w:lineRule="exact"/>
        <w:rPr>
          <w:sz w:val="20"/>
          <w:szCs w:val="20"/>
          <w:color w:val="auto"/>
        </w:rPr>
      </w:pPr>
    </w:p>
    <w:p>
      <w:pPr>
        <w:ind w:right="480" w:firstLine="440"/>
        <w:spacing w:after="0" w:line="261" w:lineRule="auto"/>
        <w:rPr>
          <w:sz w:val="20"/>
          <w:szCs w:val="20"/>
          <w:color w:val="auto"/>
        </w:rPr>
      </w:pPr>
      <w:r>
        <w:rPr>
          <w:rFonts w:ascii="Times New Roman" w:cs="Times New Roman" w:eastAsia="Times New Roman" w:hAnsi="Times New Roman"/>
          <w:sz w:val="18"/>
          <w:szCs w:val="18"/>
          <w:color w:val="auto"/>
        </w:rPr>
        <w:t>Upon the filing of the Certificate of Domestication and this Certificate of Incorporation, each issued and outstanding Class A ordinary share, $0.0001 par value per share and each issued and outstanding Class B ordinary share, $0.0001 par value per share, of Live Oak shall convert automatically, on a one-for-one basis, into one share of Common Stock, without any action required on the part of the Corporation or the holders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designations and the powers, privileges and rights, and the qualifications, limitations or restrictions thereof in respect of each class of capital stock of the Corporation are as follows:</w:t>
      </w:r>
    </w:p>
    <w:p>
      <w:pPr>
        <w:sectPr>
          <w:pgSz w:w="11900" w:h="16838" w:orient="portrait"/>
          <w:cols w:equalWidth="0" w:num="1">
            <w:col w:w="11020"/>
          </w:cols>
          <w:pgMar w:left="440" w:top="117" w:right="43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firstLine="987"/>
        <w:spacing w:after="0" w:line="266" w:lineRule="auto"/>
        <w:tabs>
          <w:tab w:leader="none" w:pos="11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outstanding from time to time.</w:t>
      </w:r>
    </w:p>
    <w:p>
      <w:pPr>
        <w:spacing w:after="0" w:line="67" w:lineRule="exact"/>
        <w:rPr>
          <w:rFonts w:ascii="Times New Roman" w:cs="Times New Roman" w:eastAsia="Times New Roman" w:hAnsi="Times New Roman"/>
          <w:sz w:val="18"/>
          <w:szCs w:val="18"/>
          <w:color w:val="auto"/>
        </w:rPr>
      </w:pPr>
    </w:p>
    <w:p>
      <w:pPr>
        <w:ind w:left="4" w:firstLine="987"/>
        <w:spacing w:after="0" w:line="255" w:lineRule="auto"/>
        <w:tabs>
          <w:tab w:leader="none" w:pos="11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Certificate of Incorporation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or pursuant to the DGCL.</w:t>
      </w:r>
    </w:p>
    <w:p>
      <w:pPr>
        <w:spacing w:after="0" w:line="81" w:lineRule="exact"/>
        <w:rPr>
          <w:sz w:val="20"/>
          <w:szCs w:val="20"/>
          <w:color w:val="auto"/>
        </w:rPr>
      </w:pPr>
    </w:p>
    <w:p>
      <w:pPr>
        <w:ind w:left="4" w:right="200" w:firstLine="991"/>
        <w:spacing w:after="0" w:line="289" w:lineRule="auto"/>
        <w:rPr>
          <w:sz w:val="20"/>
          <w:szCs w:val="20"/>
          <w:color w:val="auto"/>
        </w:rPr>
      </w:pPr>
      <w:r>
        <w:rPr>
          <w:rFonts w:ascii="Times New Roman" w:cs="Times New Roman" w:eastAsia="Times New Roman" w:hAnsi="Times New Roman"/>
          <w:sz w:val="17"/>
          <w:szCs w:val="17"/>
          <w:color w:val="auto"/>
        </w:rPr>
        <w:t>Subject to the rights of any holders of any outstanding series of Preferred Stock, the number of authorized shares of Common Stock or Preferred Stock may be increased or decreased (but not below the number of shares thereof then outstanding) by the requisite vote of the stockholders entitled to vote thereon, voting as a single class, irrespective of the provisions of Section 242(b)(2) of the DGCL (or any successor provision thereto).</w:t>
      </w:r>
    </w:p>
    <w:p>
      <w:pPr>
        <w:spacing w:after="0" w:line="50" w:lineRule="exact"/>
        <w:rPr>
          <w:sz w:val="20"/>
          <w:szCs w:val="20"/>
          <w:color w:val="auto"/>
        </w:rPr>
      </w:pPr>
    </w:p>
    <w:p>
      <w:pPr>
        <w:ind w:left="4" w:right="380" w:firstLine="987"/>
        <w:spacing w:after="0" w:line="266" w:lineRule="auto"/>
        <w:tabs>
          <w:tab w:leader="none" w:pos="117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67"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17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 number of shares of Common Stock held by each such holder.</w:t>
      </w:r>
    </w:p>
    <w:p>
      <w:pPr>
        <w:spacing w:after="0" w:line="287"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117" w:lineRule="exact"/>
        <w:rPr>
          <w:sz w:val="20"/>
          <w:szCs w:val="20"/>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76" w:lineRule="exact"/>
        <w:rPr>
          <w:sz w:val="20"/>
          <w:szCs w:val="20"/>
          <w:color w:val="auto"/>
        </w:rPr>
      </w:pPr>
    </w:p>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Certificate of Incorporation (including any Certificate of Designation). Except as otherwise required by law, holders of any series of Preferred Stock shall be entitled only to such voting rights, if any, as shall expressly be granted thereto by this Certificate of Incorporation (including any Certificate of Designation).</w:t>
      </w:r>
    </w:p>
    <w:p>
      <w:pPr>
        <w:sectPr>
          <w:pgSz w:w="11900" w:h="16838" w:orient="portrait"/>
          <w:cols w:equalWidth="0" w:num="1">
            <w:col w:w="10984"/>
          </w:cols>
          <w:pgMar w:left="436" w:top="270" w:right="479" w:bottom="1440" w:gutter="0" w:footer="0" w:header="0"/>
        </w:sectPr>
      </w:pPr>
    </w:p>
    <w:bookmarkStart w:id="22" w:name="page23"/>
    <w:bookmarkEnd w:id="22"/>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authorized shares of Preferred Stock may be increased or decreased (but not below the number of shares thereof then outstanding) irrespective of the provisions of Section 242(b)(2) of the DGCL (or any successor provision thereto).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it is further provided that: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 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 Class I directors shall serve for a term expiring at the first annual meeting of stockholders following the initial registration of the Corporation’s Common Stock pursuant to the Securities Exchange Act of 1934, as amended; the initial Class II directors shall serve for a term expiring at the second annual meeting of stockholders following such registration; and the initial Class III directors shall serve for a term expiring at the third annual meeting of stockholders following such registration. At each annual meeting of stockholders of the Corporation beginning with the first annual meeting of stockholders following the Effective Time, subject to any special rights of the holders of one or more outstanding series of Preferred Stock to elect directors,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designate members of the Board of Directors already in office as Class I, Class II or Class III directors.</w:t>
      </w:r>
    </w:p>
    <w:p>
      <w:pPr>
        <w:spacing w:after="0" w:line="8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B. Except as otherwise expressly provided by the DGCL or this Certificate of Incorporation,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w:t>
      </w:r>
    </w:p>
    <w:p>
      <w:pPr>
        <w:spacing w:after="0" w:line="6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two-thirds of the voting power of all of the then outstanding shares of voting stock of the Corporation entitled to vote at an election of directors.</w:t>
      </w:r>
    </w:p>
    <w:p>
      <w:pPr>
        <w:spacing w:after="0" w:line="68"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8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Article VI, the</w:t>
      </w:r>
    </w:p>
    <w:p>
      <w:pPr>
        <w:sectPr>
          <w:pgSz w:w="11900" w:h="16838" w:orient="portrait"/>
          <w:cols w:equalWidth="0" w:num="1">
            <w:col w:w="11000"/>
          </w:cols>
          <w:pgMar w:left="440" w:top="270" w:right="459" w:bottom="1440" w:gutter="0" w:footer="0" w:header="0"/>
        </w:sectPr>
      </w:pPr>
    </w:p>
    <w:bookmarkStart w:id="23" w:name="page24"/>
    <w:bookmarkEnd w:id="2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number of directors that may be elected by the holders of any such series of Preferred Stock shall be in addition to the number fixed pursuant to paragraph B of this Article VI,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9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F. In furtherance and not in limitation of the powers conferred by statute, the Board of Directors is expressly authorized to adopt, amend or repeal Bylaws of the Corporation.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 The directors of the Corporation need not be elected by written ballot unless the Bylaws so provide.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Any action required or permitted to be taken by the stockholders of the Corporation must be effected at an annual or special meeting of stockholders of the Corporation, and may not be effected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9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B. Subject to the special rights of the holders of one or more series of Preferred Stock, special meetings of stockholders of the Corporation may be called, for any purpose or purposes, at any time only by or at the direction of the Board of Directors and shall not be called by any other person or persons.</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C. Advance notice of stockholder nominations for the election of directors and of other business proposed to be brought by stockholders before any meeting of stockholders of the Corporation shall be given in the manner and to the extent provided in the Bylaws of the Corporation.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Certificate of Incorporation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ectPr>
          <w:pgSz w:w="11900" w:h="16838" w:orient="portrait"/>
          <w:cols w:equalWidth="0" w:num="1">
            <w:col w:w="11000"/>
          </w:cols>
          <w:pgMar w:left="440" w:top="270" w:right="4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9"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 agent or stockholder of the Corporation to the Corporation or to the Corporation’s stockholders, (iii) any action, suit or proceeding arising pursuant to any provision of the DGCL or the bylaws of the Corporation or this Certificate of Incorporation (as either may be amended from time to time) or (iv) any action, suit or proceeding asserting a claim against the Corporation governed by the internal affairs doctrine; and (b) subject to the preceding provisions of this Article X,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9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security of the Corporation shall be deemed to have notice of and consented to this Article X. This Article X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 Notwithstanding anything contained in this Certificate of Incorporation to the contrary,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and this Article XI.</w:t>
      </w:r>
    </w:p>
    <w:p>
      <w:pPr>
        <w:sectPr>
          <w:pgSz w:w="11900" w:h="16838" w:orient="portrait"/>
          <w:cols w:equalWidth="0" w:num="1">
            <w:col w:w="10980"/>
          </w:cols>
          <w:pgMar w:left="440" w:top="266" w:right="479" w:bottom="1440" w:gutter="0" w:footer="0" w:header="0"/>
        </w:sectPr>
      </w:pPr>
    </w:p>
    <w:bookmarkStart w:id="25" w:name="page26"/>
    <w:bookmarkEnd w:id="2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4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 hereby expressly elects not to be governed by Section 203 of the DGCL.</w:t>
      </w:r>
    </w:p>
    <w:p>
      <w:pPr>
        <w:spacing w:after="0" w:line="2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780"/>
          </w:cols>
          <w:pgMar w:left="440" w:top="270" w:right="6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has caused this Certificate of Incorporation to be signed on this 18 day of June, 2026.</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LIVE OAK ACQUISITION CORP V.</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Adam J.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Adam J. Fishman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 4921 William Arnold Road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Memphis TN 38117</w:t>
      </w:r>
    </w:p>
    <w:p>
      <w:pPr>
        <w:sectPr>
          <w:pgSz w:w="11900" w:h="16838" w:orient="portrait"/>
          <w:cols w:equalWidth="0" w:num="1">
            <w:col w:w="9579"/>
          </w:cols>
          <w:pgMar w:left="880" w:top="270"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Amended and Restated Bylaws of</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Teamshares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as of June 18, 2026</w:t>
      </w:r>
    </w:p>
    <w:p>
      <w:pPr>
        <w:sectPr>
          <w:pgSz w:w="11900" w:h="16838" w:orient="portrait"/>
          <w:cols w:equalWidth="0" w:num="1">
            <w:col w:w="10020"/>
          </w:cols>
          <w:pgMar w:left="1440" w:top="117" w:right="4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994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Registered Office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Offices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Place of Meetings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Business to be Brought before a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Nominations for Election to the Board of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Requirements for Valid Nomination of Candidates to Serve as Director and, if Elected, to be Seated as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Adjourned Meeting; Notice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Conduct of Business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Date for Stockholder Meetings and Other Purposes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Proxies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Inspectors of Election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Regular Meetings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Meetings; Notice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Action without a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Committees of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 Minutes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Subcommittees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of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19"/>
                <w:szCs w:val="19"/>
                <w:color w:val="auto"/>
              </w:rPr>
            </w:pPr>
          </w:p>
        </w:tc>
        <w:tc>
          <w:tcPr>
            <w:tcW w:w="994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94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(continued)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99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Subordinate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720" w:type="dxa"/>
            <w:vAlign w:val="bottom"/>
            <w:vMerge w:val="continue"/>
          </w:tcPr>
          <w:p>
            <w:pPr>
              <w:spacing w:after="0"/>
              <w:rPr>
                <w:sz w:val="16"/>
                <w:szCs w:val="16"/>
                <w:color w:val="auto"/>
              </w:rPr>
            </w:pPr>
          </w:p>
        </w:tc>
        <w:tc>
          <w:tcPr>
            <w:tcW w:w="994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Vacancies in Offices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Records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General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Lost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Without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Year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Seal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 of Stock</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Registered Stockholders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Notice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Notice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2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Indemnification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 of Expenses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Determination; Claim</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Non-Exclusivity of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Indemnification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Continuation of Indemnification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or Repeal; Interpretation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 Forum Selection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Bylaws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Teamshares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Teamshares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of stockholders. At the annual meeting of stockholders,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Special meetings of stockholders may be called only by such persons and only in such manner as set forth in the Certificate of Incorporation.</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 The Board may postpone, reschedule or cancel any previously scheduled special meeting of stockholders.</w:t>
      </w:r>
    </w:p>
    <w:p>
      <w:pPr>
        <w:sectPr>
          <w:pgSz w:w="11900" w:h="16838" w:orient="portrait"/>
          <w:cols w:equalWidth="0" w:num="1">
            <w:col w:w="10960"/>
          </w:cols>
          <w:pgMar w:left="440" w:top="266" w:right="499" w:bottom="1440" w:gutter="0" w:footer="0" w:header="0"/>
        </w:sectPr>
      </w:pPr>
    </w:p>
    <w:bookmarkStart w:id="31" w:name="page32"/>
    <w:bookmarkEnd w:id="3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Notice of Business to be Brought before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76" w:lineRule="auto"/>
        <w:tabs>
          <w:tab w:leader="none" w:pos="68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w:t>
      </w:r>
    </w:p>
    <w:p>
      <w:pPr>
        <w:ind w:left="4" w:hanging="4"/>
        <w:spacing w:after="0" w:line="251"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specified in a notice of meeting, otherwise brought before the meeting by or at the direction of the Board of Directors or the Chairman of the Board or (iii) otherwise properly brought before the meeting by a stockholder present in person who (A) (1) was a record owner of shares of capital stock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2.7, and stockholders shall not be permitted to propose business to be brought before a special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of Directors must comply with Section 2.5 and Section 2.6 and this Section 2.4 shall not be applicable to nominations except as expressly provided in Section 2.5 and Section 2.6.</w:t>
      </w:r>
    </w:p>
    <w:p>
      <w:pPr>
        <w:spacing w:after="0" w:line="190"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9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closing of the business combination contemplated by the Agreement and Plan of Merger, dated as of November 14, 2025, by and among the Corporation; Live Oak Acquisition Corp. V, a Cayman Islands exempted company (which shall transfer by way of continuation and domesticate as a Delaware corporation prior to the Closing); Catalyst Sub Inc., a Delaware corporation; Catalyst Sub 2 LLC, a Delaware limited liability company; Live Oak Sponsor V LLC, a Delaware limited liability company; and Brian Gaebe, the date of the preceding year’s annual meeting shall be deemed to be June 18;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the date of the annual meeting is more than thirty (30) days before or more than sixty (60) days after such anniversary date, notice by the stockholder to be timely must be so delivered, or mailed and received, not more than the hundred twentieth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prior to such annual meeting and not later than</w:t>
      </w:r>
    </w:p>
    <w:p>
      <w:pPr>
        <w:spacing w:after="0" w:line="4" w:lineRule="exact"/>
        <w:rPr>
          <w:rFonts w:ascii="Times New Roman" w:cs="Times New Roman" w:eastAsia="Times New Roman" w:hAnsi="Times New Roman"/>
          <w:sz w:val="17"/>
          <w:szCs w:val="17"/>
          <w:color w:val="auto"/>
        </w:rPr>
      </w:pPr>
    </w:p>
    <w:p>
      <w:pPr>
        <w:ind w:left="4" w:right="200" w:hanging="4"/>
        <w:spacing w:after="0" w:line="224"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or, (ii) if later,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1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2" w:name="page33"/>
    <w:bookmarkEnd w:id="32"/>
    <w:p>
      <w:pPr>
        <w:ind w:left="244" w:hanging="244"/>
        <w:spacing w:after="0"/>
        <w:tabs>
          <w:tab w:leader="none" w:pos="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in proper form for purposes of this Section 2.4, a stockholder’s notice to the Secretary shall set forth:</w:t>
      </w:r>
    </w:p>
    <w:p>
      <w:pPr>
        <w:spacing w:after="0" w:line="117" w:lineRule="exact"/>
        <w:rPr>
          <w:rFonts w:ascii="Times New Roman" w:cs="Times New Roman" w:eastAsia="Times New Roman" w:hAnsi="Times New Roman"/>
          <w:sz w:val="18"/>
          <w:szCs w:val="18"/>
          <w:color w:val="auto"/>
        </w:rPr>
      </w:pPr>
    </w:p>
    <w:p>
      <w:pPr>
        <w:ind w:left="4" w:firstLine="419"/>
        <w:spacing w:after="0" w:line="255" w:lineRule="auto"/>
        <w:tabs>
          <w:tab w:leader="none" w:pos="64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promulgated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w:t>
      </w:r>
    </w:p>
    <w:p>
      <w:pPr>
        <w:spacing w:after="0" w:line="117" w:lineRule="exact"/>
        <w:rPr>
          <w:rFonts w:ascii="Times New Roman" w:cs="Times New Roman" w:eastAsia="Times New Roman" w:hAnsi="Times New Roman"/>
          <w:sz w:val="18"/>
          <w:szCs w:val="18"/>
          <w:color w:val="auto"/>
        </w:rPr>
      </w:pPr>
    </w:p>
    <w:p>
      <w:pPr>
        <w:ind w:left="544" w:right="20" w:firstLine="408"/>
        <w:spacing w:after="0" w:line="258" w:lineRule="auto"/>
        <w:tabs>
          <w:tab w:leader="none" w:pos="1239"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and conditions of any “derivative security” (as such term is defined in Rule 16a-1(c) promulgated under the Exchange Act) that constitutes a “call equivalent position” (as such term is defined in Rule 16a-1(b) promulgated under the Exchange Act) or a “put equivalent position” (as such term is defined in Rule 16a-1(h) promulgated under the Exchange Act) or other derivative or synthetic arrangement in respect of any class or series of shares of capital stock of the Corporation (“</w:t>
      </w:r>
      <w:r>
        <w:rPr>
          <w:rFonts w:ascii="Times New Roman" w:cs="Times New Roman" w:eastAsia="Times New Roman" w:hAnsi="Times New Roman"/>
          <w:sz w:val="18"/>
          <w:szCs w:val="18"/>
          <w:u w:val="single" w:color="auto"/>
          <w:color w:val="auto"/>
        </w:rPr>
        <w:t>Synthetic Equity Position</w:t>
      </w:r>
      <w:r>
        <w:rPr>
          <w:rFonts w:ascii="Times New Roman" w:cs="Times New Roman" w:eastAsia="Times New Roman" w:hAnsi="Times New Roman"/>
          <w:sz w:val="18"/>
          <w:szCs w:val="18"/>
          <w:color w:val="auto"/>
        </w:rPr>
        <w:t>”) that is, directly or indirectly, held or maintained by, held for the benefit of, or involving such Proposing Person, including, without limitation,</w:t>
      </w:r>
    </w:p>
    <w:p>
      <w:pPr>
        <w:spacing w:after="0" w:line="75" w:lineRule="exact"/>
        <w:rPr>
          <w:rFonts w:ascii="Times New Roman" w:cs="Times New Roman" w:eastAsia="Times New Roman" w:hAnsi="Times New Roman"/>
          <w:sz w:val="18"/>
          <w:szCs w:val="18"/>
          <w:color w:val="auto"/>
        </w:rPr>
      </w:pPr>
    </w:p>
    <w:p>
      <w:pPr>
        <w:ind w:left="984" w:right="120" w:firstLine="391"/>
        <w:spacing w:after="0" w:line="261" w:lineRule="auto"/>
        <w:tabs>
          <w:tab w:leader="none" w:pos="1622"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w:t>
      </w:r>
    </w:p>
    <w:p>
      <w:pPr>
        <w:spacing w:after="0" w:line="71" w:lineRule="exact"/>
        <w:rPr>
          <w:rFonts w:ascii="Times New Roman" w:cs="Times New Roman" w:eastAsia="Times New Roman" w:hAnsi="Times New Roman"/>
          <w:sz w:val="18"/>
          <w:szCs w:val="18"/>
          <w:color w:val="auto"/>
        </w:rPr>
      </w:pPr>
    </w:p>
    <w:p>
      <w:pPr>
        <w:ind w:left="984" w:firstLine="391"/>
        <w:spacing w:after="0" w:line="266" w:lineRule="auto"/>
        <w:tabs>
          <w:tab w:leader="none" w:pos="1622"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w:t>
      </w:r>
    </w:p>
    <w:p>
      <w:pPr>
        <w:spacing w:after="0" w:line="67" w:lineRule="exact"/>
        <w:rPr>
          <w:rFonts w:ascii="Times New Roman" w:cs="Times New Roman" w:eastAsia="Times New Roman" w:hAnsi="Times New Roman"/>
          <w:sz w:val="18"/>
          <w:szCs w:val="18"/>
          <w:color w:val="auto"/>
        </w:rPr>
      </w:pPr>
    </w:p>
    <w:p>
      <w:pPr>
        <w:ind w:left="1624" w:hanging="249"/>
        <w:spacing w:after="0"/>
        <w:tabs>
          <w:tab w:leader="none" w:pos="1624" w:val="left"/>
        </w:tabs>
        <w:numPr>
          <w:ilvl w:val="3"/>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derivative, swap or other transaction or series of transactions designed to:</w:t>
      </w:r>
    </w:p>
    <w:p>
      <w:pPr>
        <w:spacing w:after="0" w:line="117" w:lineRule="exact"/>
        <w:rPr>
          <w:rFonts w:ascii="Times New Roman" w:cs="Times New Roman" w:eastAsia="Times New Roman" w:hAnsi="Times New Roman"/>
          <w:sz w:val="18"/>
          <w:szCs w:val="18"/>
          <w:color w:val="auto"/>
        </w:rPr>
      </w:pPr>
    </w:p>
    <w:p>
      <w:pPr>
        <w:ind w:left="1544" w:firstLine="360"/>
        <w:spacing w:after="0" w:line="282" w:lineRule="auto"/>
        <w:tabs>
          <w:tab w:leader="none" w:pos="2160" w:val="left"/>
        </w:tabs>
        <w:numPr>
          <w:ilvl w:val="4"/>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economic benefits and risks that correspond substantially to the ownership of any class or series of shares of capital stock of the Corporation,</w:t>
      </w:r>
    </w:p>
    <w:p>
      <w:pPr>
        <w:spacing w:after="0" w:line="53" w:lineRule="exact"/>
        <w:rPr>
          <w:rFonts w:ascii="Times New Roman" w:cs="Times New Roman" w:eastAsia="Times New Roman" w:hAnsi="Times New Roman"/>
          <w:sz w:val="18"/>
          <w:szCs w:val="18"/>
          <w:color w:val="auto"/>
        </w:rPr>
      </w:pPr>
    </w:p>
    <w:p>
      <w:pPr>
        <w:ind w:left="1544" w:right="220" w:firstLine="360"/>
        <w:spacing w:after="0" w:line="282" w:lineRule="auto"/>
        <w:tabs>
          <w:tab w:leader="none" w:pos="2160" w:val="left"/>
        </w:tabs>
        <w:numPr>
          <w:ilvl w:val="4"/>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any loss relating to, reduce the economic risk (of ownership or otherwise) of, or manage the risk of share price decrease in, any class or series of shares of capital stock of the Corporation, or</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70" w:right="459" w:bottom="1440" w:gutter="0" w:footer="0" w:header="0"/>
        </w:sectPr>
      </w:pPr>
    </w:p>
    <w:bookmarkStart w:id="33" w:name="page34"/>
    <w:bookmarkEnd w:id="33"/>
    <w:p>
      <w:pPr>
        <w:ind w:left="1000" w:right="220" w:firstLine="360"/>
        <w:spacing w:after="0" w:line="282" w:lineRule="auto"/>
        <w:tabs>
          <w:tab w:leader="none" w:pos="16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or decrease the voting power in respect of any class or series of shares of capital stock of the Corporation held or maintained by, held for the benefit of, or involving such Proposing Person,</w:t>
      </w:r>
    </w:p>
    <w:p>
      <w:pPr>
        <w:spacing w:after="0" w:line="54"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for the purposes of the definition of “Synthetic Equity Position,” the term “derivative security” shall also include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w:t>
      </w:r>
      <w:r>
        <w:rPr>
          <w:rFonts w:ascii="Times New Roman" w:cs="Times New Roman" w:eastAsia="Times New Roman" w:hAnsi="Times New Roman"/>
          <w:sz w:val="18"/>
          <w:szCs w:val="18"/>
          <w:i w:val="1"/>
          <w:iCs w:val="1"/>
          <w:color w:val="auto"/>
        </w:rPr>
        <w:t>and, provided, further, that</w:t>
      </w:r>
      <w:r>
        <w:rPr>
          <w:rFonts w:ascii="Times New Roman" w:cs="Times New Roman" w:eastAsia="Times New Roman" w:hAnsi="Times New Roman"/>
          <w:sz w:val="18"/>
          <w:szCs w:val="18"/>
          <w:color w:val="auto"/>
        </w:rPr>
        <w:t xml:space="preserve"> any Proposing Person satisfying the requirements of Rule 13d-1(b)(1) promulgated under the Exchange Act (other than a Proposing Person that so satisfies Rule 13d-1(b)(1) promulgated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w:t>
      </w:r>
    </w:p>
    <w:p>
      <w:pPr>
        <w:spacing w:after="0" w:line="86" w:lineRule="exact"/>
        <w:rPr>
          <w:sz w:val="20"/>
          <w:szCs w:val="20"/>
          <w:color w:val="auto"/>
        </w:rPr>
      </w:pPr>
    </w:p>
    <w:p>
      <w:pPr>
        <w:jc w:val="both"/>
        <w:ind w:firstLine="408"/>
        <w:spacing w:after="0" w:line="266" w:lineRule="auto"/>
        <w:tabs>
          <w:tab w:leader="none" w:pos="6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with respect to any rights to dividends on the shares of any class or series of shares of capital stock of the Corporation owned beneficially by such Proposing Person that are separated or separable pursuant to such agreement, arrangement or understanding from the underlying shares of capital stock of the Corporation,</w:t>
      </w:r>
    </w:p>
    <w:p>
      <w:pPr>
        <w:spacing w:after="0" w:line="67" w:lineRule="exact"/>
        <w:rPr>
          <w:rFonts w:ascii="Times New Roman" w:cs="Times New Roman" w:eastAsia="Times New Roman" w:hAnsi="Times New Roman"/>
          <w:sz w:val="18"/>
          <w:szCs w:val="18"/>
          <w:color w:val="auto"/>
        </w:rPr>
      </w:pPr>
    </w:p>
    <w:p>
      <w:pPr>
        <w:ind w:right="140" w:firstLine="408"/>
        <w:spacing w:after="0" w:line="282" w:lineRule="auto"/>
        <w:tabs>
          <w:tab w:leader="none" w:pos="6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pending or threatened legal proceeding in which such Proposing Person is a party or material participant involving the Corporation or any of its officers or directors, or any affiliate of the Corporation,</w:t>
      </w:r>
    </w:p>
    <w:p>
      <w:pPr>
        <w:spacing w:after="0" w:line="53" w:lineRule="exact"/>
        <w:rPr>
          <w:rFonts w:ascii="Times New Roman" w:cs="Times New Roman" w:eastAsia="Times New Roman" w:hAnsi="Times New Roman"/>
          <w:sz w:val="18"/>
          <w:szCs w:val="18"/>
          <w:color w:val="auto"/>
        </w:rPr>
      </w:pPr>
    </w:p>
    <w:p>
      <w:pPr>
        <w:ind w:right="460" w:firstLine="408"/>
        <w:spacing w:after="0" w:line="282" w:lineRule="auto"/>
        <w:tabs>
          <w:tab w:leader="none" w:pos="6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relationship between such Proposing Person, on the one hand, and the Corporation or any affiliate of the Corporation, on the other hand,</w:t>
      </w:r>
    </w:p>
    <w:p>
      <w:pPr>
        <w:spacing w:after="0" w:line="53" w:lineRule="exact"/>
        <w:rPr>
          <w:rFonts w:ascii="Times New Roman" w:cs="Times New Roman" w:eastAsia="Times New Roman" w:hAnsi="Times New Roman"/>
          <w:sz w:val="18"/>
          <w:szCs w:val="18"/>
          <w:color w:val="auto"/>
        </w:rPr>
      </w:pPr>
    </w:p>
    <w:p>
      <w:pPr>
        <w:jc w:val="both"/>
        <w:ind w:right="260" w:firstLine="408"/>
        <w:spacing w:after="0" w:line="266" w:lineRule="auto"/>
        <w:tabs>
          <w:tab w:leader="none" w:pos="6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of such Proposing Person with the Corporation or any affiliate of the Corporation (including, in any such case, any employment agreement, collective bargaining agreement or consulting agreement),</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20"/>
          </w:cols>
          <w:pgMar w:left="1420" w:top="270" w:right="459" w:bottom="1440" w:gutter="0" w:footer="0" w:header="0"/>
        </w:sectPr>
      </w:pPr>
    </w:p>
    <w:bookmarkStart w:id="34" w:name="page35"/>
    <w:bookmarkEnd w:id="34"/>
    <w:p>
      <w:pPr>
        <w:ind w:left="540" w:right="120" w:firstLine="408"/>
        <w:spacing w:after="0" w:line="258" w:lineRule="auto"/>
        <w:tabs>
          <w:tab w:leader="none" w:pos="12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proportionate interest in shares of capital stock of the Corporation or a Synthetic Equity Position held, directly or indirectly, by a corporation,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w:t>
      </w:r>
    </w:p>
    <w:p>
      <w:pPr>
        <w:spacing w:after="0" w:line="75" w:lineRule="exact"/>
        <w:rPr>
          <w:rFonts w:ascii="Times New Roman" w:cs="Times New Roman" w:eastAsia="Times New Roman" w:hAnsi="Times New Roman"/>
          <w:sz w:val="18"/>
          <w:szCs w:val="18"/>
          <w:color w:val="auto"/>
        </w:rPr>
      </w:pPr>
    </w:p>
    <w:p>
      <w:pPr>
        <w:ind w:left="540" w:right="140" w:firstLine="408"/>
        <w:spacing w:after="0" w:line="266"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such Proposing Person intends or is part of a group, as defined by Section 13d-3 of the Exchange Act, that intends to deliver a proxy statement and/or form of proxy to holders of at least the percentage of the Corporation’s outstanding capital stock required to approve or adopt the proposal or otherwise solicit proxies or votes from stockholders in support of such proposal, and</w:t>
      </w:r>
    </w:p>
    <w:p>
      <w:pPr>
        <w:spacing w:after="0" w:line="67" w:lineRule="exact"/>
        <w:rPr>
          <w:rFonts w:ascii="Times New Roman" w:cs="Times New Roman" w:eastAsia="Times New Roman" w:hAnsi="Times New Roman"/>
          <w:sz w:val="18"/>
          <w:szCs w:val="18"/>
          <w:color w:val="auto"/>
        </w:rPr>
      </w:pPr>
    </w:p>
    <w:p>
      <w:pPr>
        <w:jc w:val="both"/>
        <w:ind w:left="540" w:right="360" w:firstLine="408"/>
        <w:spacing w:after="0" w:line="266"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w:t>
      </w:r>
    </w:p>
    <w:p>
      <w:pPr>
        <w:spacing w:after="0" w:line="6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disclosures to be made pursuant to the foregoing clauses (A) through (H)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74" w:lineRule="exact"/>
        <w:rPr>
          <w:sz w:val="20"/>
          <w:szCs w:val="20"/>
          <w:color w:val="auto"/>
        </w:rPr>
      </w:pPr>
    </w:p>
    <w:p>
      <w:pPr>
        <w:ind w:firstLine="419"/>
        <w:spacing w:after="0" w:line="253" w:lineRule="auto"/>
        <w:tabs>
          <w:tab w:leader="none" w:pos="7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these bylaws, the language of the proposed amendment), (C) a reasonably detailed description of all agreements, arrangements and understandings (1) between or among any of the Proposing Persons or (2) between or among any Proposing Person and any other record or beneficial holder(s) or persons(s) who have a right to acquire beneficial ownership at any time in the future of the shares of any class or series of capital stock of the Corporation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35" w:name="page36"/>
    <w:bookmarkEnd w:id="35"/>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2.4,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jc w:val="both"/>
        <w:ind w:firstLine="436"/>
        <w:spacing w:after="0" w:line="312" w:lineRule="auto"/>
        <w:tabs>
          <w:tab w:leader="none" w:pos="69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may request that any Proposing Person furnish such additional information as may be reasonably required by the Board of Directors. Such Proposing Person shall provide such additional information within ten (10) days after it has been requested by the Board of Directors.</w:t>
      </w:r>
    </w:p>
    <w:p>
      <w:pPr>
        <w:spacing w:after="0" w:line="139"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92" w:lineRule="exact"/>
        <w:rPr>
          <w:rFonts w:ascii="Times New Roman" w:cs="Times New Roman" w:eastAsia="Times New Roman" w:hAnsi="Times New Roman"/>
          <w:sz w:val="18"/>
          <w:szCs w:val="18"/>
          <w:color w:val="auto"/>
        </w:rPr>
      </w:pPr>
    </w:p>
    <w:p>
      <w:pPr>
        <w:ind w:right="20" w:firstLine="436"/>
        <w:spacing w:after="0" w:line="258"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presiding officer of the meeting (or, in advance of any meeting of stockholders, the Board of Directors or an authorized committee thereof)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83" w:lineRule="exact"/>
        <w:rPr>
          <w:rFonts w:ascii="Times New Roman" w:cs="Times New Roman" w:eastAsia="Times New Roman" w:hAnsi="Times New Roman"/>
          <w:sz w:val="18"/>
          <w:szCs w:val="18"/>
          <w:color w:val="auto"/>
        </w:rPr>
      </w:pPr>
    </w:p>
    <w:p>
      <w:pPr>
        <w:ind w:firstLine="436"/>
        <w:spacing w:after="0" w:line="277" w:lineRule="auto"/>
        <w:tabs>
          <w:tab w:leader="none" w:pos="69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2.4 is expressly intended to apply to any business proposed to be brought before an annual meeting of stockholders other than any proposal made in accordance with Rule 14a-8 promulgated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promulgated under the Exchange Act.</w:t>
      </w:r>
    </w:p>
    <w:p>
      <w:pPr>
        <w:spacing w:after="0" w:line="167" w:lineRule="exact"/>
        <w:rPr>
          <w:rFonts w:ascii="Times New Roman" w:cs="Times New Roman" w:eastAsia="Times New Roman" w:hAnsi="Times New Roman"/>
          <w:sz w:val="17"/>
          <w:szCs w:val="17"/>
          <w:color w:val="auto"/>
        </w:rPr>
      </w:pPr>
    </w:p>
    <w:p>
      <w:pPr>
        <w:ind w:right="20" w:firstLine="436"/>
        <w:spacing w:after="0" w:line="266"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Sections 13, 14 or 15(d) of the Exchange Act and the rules and regulations thereunder.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6" w:name="page37"/>
    <w:bookmarkEnd w:id="3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Notice of Nominations for Election to the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53"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who (A) was a record owner of shares of capital stock of the Corporation both at the time of giving the notice provided for in this Section 2.5 and at the time of the meeting, (B) is entitled to vote at the meeting, and (C) has complied with this Section 2.5 and Section 2.6 as to such notice and nomination. For purposes of this Section 2.5, “present in person” shall mean that the stockholder nominating any person for election to the Board of Directors at the meeting of the Corporation, or a qualified representative of such stockholder, appear at such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The foregoing clause (ii) shall be the exclusive means for a stockholder to make any nomination of a person or persons for election to the Board of Directors at an annual meeting or special meeting.</w:t>
      </w:r>
    </w:p>
    <w:p>
      <w:pPr>
        <w:spacing w:after="0" w:line="187" w:lineRule="exact"/>
        <w:rPr>
          <w:rFonts w:ascii="Times New Roman" w:cs="Times New Roman" w:eastAsia="Times New Roman" w:hAnsi="Times New Roman"/>
          <w:sz w:val="18"/>
          <w:szCs w:val="18"/>
          <w:color w:val="auto"/>
        </w:rPr>
      </w:pPr>
    </w:p>
    <w:p>
      <w:pPr>
        <w:ind w:left="-20" w:right="80" w:firstLine="436"/>
        <w:spacing w:after="0" w:line="258"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Without qualification, for a stockholder to make any nomination of a person or persons for election to the Board of Directors at an annual meeting, the stockholder must (1) provide Timely Notice (as defined in Section 2.4) thereof in writing and in proper form to the Secretary of the Corporation, (2) provide the information, agreements and questionnaires with respect to each Nominating Person (as defined below) and its candidate for nomination as required to be set forth by this Section 2.5 and Section 2.6 and (3) provide any updates or supplements to such notice at the times and in the forms required by this Section 2.5 and Section 2.6</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ind w:left="-20" w:right="40" w:firstLine="436"/>
        <w:spacing w:after="0" w:line="230"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of the Corporation at the principal executive offices of the Corporation, (B) provide the information with respect to each Nominating Person and its candidate for nomination as required by this Section 2.5 and Section 2.6 and (C)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special meeting and not later than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special meeting or, if later,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day on which public disclosure (as defined in Section 2.4) of the date of such special meeting was first made (such notice within such time periods, “</w:t>
      </w:r>
      <w:r>
        <w:rPr>
          <w:rFonts w:ascii="Times New Roman" w:cs="Times New Roman" w:eastAsia="Times New Roman" w:hAnsi="Times New Roman"/>
          <w:sz w:val="18"/>
          <w:szCs w:val="18"/>
          <w:u w:val="single" w:color="auto"/>
          <w:color w:val="auto"/>
        </w:rPr>
        <w:t>Special Meeting Timely Notice</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20" w:right="200" w:firstLine="436"/>
        <w:spacing w:after="0" w:line="282" w:lineRule="auto"/>
        <w:tabs>
          <w:tab w:leader="none" w:pos="7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61" w:lineRule="exact"/>
        <w:rPr>
          <w:rFonts w:ascii="Times New Roman" w:cs="Times New Roman" w:eastAsia="Times New Roman" w:hAnsi="Times New Roman"/>
          <w:sz w:val="18"/>
          <w:szCs w:val="18"/>
          <w:color w:val="auto"/>
        </w:rPr>
      </w:pPr>
    </w:p>
    <w:p>
      <w:pPr>
        <w:ind w:left="-20" w:firstLine="436"/>
        <w:spacing w:after="0" w:line="258" w:lineRule="auto"/>
        <w:tabs>
          <w:tab w:leader="none" w:pos="7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 Nominating Person deliver a notice of nomination, as applicable,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or Special Meeting Timely Notice, as applicable, or (ii) the tenth day following the date of public disclosure (as defined in Section 2.4) of such increase.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37" w:name="page38"/>
    <w:bookmarkEnd w:id="37"/>
    <w:p>
      <w:pPr>
        <w:ind w:left="680" w:hanging="244"/>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in proper form for purposes of this Section 2.5, a stockholder’s notice to the Secretary shall set forth:</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0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the Stockholder Information (as defined in Section 2.4(c)(i), except that for purposes of this Section 2.5 the term “Nominating Person” shall be substituted for the term “Proposing Person” in all places it appears in Section 2.4(c)(i));</w:t>
      </w:r>
    </w:p>
    <w:p>
      <w:pPr>
        <w:spacing w:after="0" w:line="53" w:lineRule="exact"/>
        <w:rPr>
          <w:rFonts w:ascii="Times New Roman" w:cs="Times New Roman" w:eastAsia="Times New Roman" w:hAnsi="Times New Roman"/>
          <w:sz w:val="18"/>
          <w:szCs w:val="18"/>
          <w:color w:val="auto"/>
        </w:rPr>
      </w:pPr>
    </w:p>
    <w:p>
      <w:pPr>
        <w:ind w:left="440" w:firstLine="419"/>
        <w:spacing w:after="0" w:line="255" w:lineRule="auto"/>
        <w:tabs>
          <w:tab w:leader="none" w:pos="112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2.4(c)(ii), except that for purposes of this Section 2.5 the term “Nominating Person” shall be substituted for the term “Proposing Person” in all places it appears in Section 2.4(c)(ii) and the disclosure with respect to the business to be brought before the meeting in Section 2.4(c)(ii) shall be made with respect to the nomination proposed to be made at the meeting); and provided that, in lieu of including the information set forth in Section 2.4(c)(ii)(G), the Nominating Person’s notice for purposes of this Section 2.5 shall include a representation as to whether the Nominating Person intends or is part of a group that intends to deliver a proxy statement and solicit the holders of shares representing at least 66 2/3% of the voting power of shares entitled to vote on the election of directors in support of director nominees other than the Corporation’s nominees in accordance with Rule 14a-19 promulgated under the Exchange Act; and</w:t>
      </w:r>
    </w:p>
    <w:p>
      <w:pPr>
        <w:spacing w:after="0" w:line="80"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of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(C) a completed and signed questionnaire, representation and agreement as provided in Section 2.6(a).</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jc w:val="both"/>
        <w:ind w:right="60" w:firstLine="987"/>
        <w:spacing w:after="0" w:line="26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request that any Nominating Person furnish such additional information as may be reasonably required by the Board of Directors. Such Nominating Person shall provide such additional information within ten (10) days after it has been requested by the Board of Directors.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8" w:name="page39"/>
    <w:bookmarkEnd w:id="38"/>
    <w:p>
      <w:pPr>
        <w:jc w:val="both"/>
        <w:ind w:left="4" w:firstLine="987"/>
        <w:spacing w:after="0" w:line="272" w:lineRule="auto"/>
        <w:tabs>
          <w:tab w:leader="none" w:pos="124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stockholder providing notice of any nomination proposed to be made at a meeting shall further update and supplement such notice or the materials delivered pursuant to this Section 2.5, as applicable, if necessary, so that the information provided or required to be provided in such notice pursuant to this Section 2.5 shall be true and correct as of the record date for stockholders entitled to vote at the meeting and as of the date that is ten</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3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spacing w:after="0" w:line="192" w:lineRule="exact"/>
        <w:rPr>
          <w:rFonts w:ascii="Times New Roman" w:cs="Times New Roman" w:eastAsia="Times New Roman" w:hAnsi="Times New Roman"/>
          <w:sz w:val="18"/>
          <w:szCs w:val="18"/>
          <w:color w:val="auto"/>
        </w:rPr>
      </w:pPr>
    </w:p>
    <w:p>
      <w:pPr>
        <w:ind w:left="4" w:firstLine="987"/>
        <w:spacing w:after="0" w:line="252" w:lineRule="auto"/>
        <w:tabs>
          <w:tab w:leader="none" w:pos="12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2.5 or by Rule 14a-19 promulgated under the Exchange Act, as applicable, and (ii) if (1) any Nominating Person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39" w:name="page40"/>
    <w:bookmarkEnd w:id="39"/>
    <w:p>
      <w:pPr>
        <w:ind w:firstLine="436"/>
        <w:spacing w:after="0" w:line="268" w:lineRule="auto"/>
        <w:tabs>
          <w:tab w:leader="none" w:pos="68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eligible to be a candidate for election as a director of the Corporation at an annual or special meeting, a candidate must be nominated in the manner prescribed in Section 2.5 and the candidate for nomination, whether nominated by the Board of Directors or by a stockholder of record, must have previously delivered, to the Secretary at the principal executive offices of the Corporation, (i) a completed written questionnaire (in the form provided by the Corporation within ten (10) days upon written request of any stockholder of record therefor) with respect to the background, qualifications, stock ownership and independence of such proposed nominee and (ii) a written representation and agreement (in the form provided by the Corporation within ten (10) days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7"/>
          <w:szCs w:val="17"/>
          <w:u w:val="single" w:color="auto"/>
          <w:color w:val="auto"/>
        </w:rPr>
        <w:t>Voting Commitment</w:t>
      </w:r>
      <w:r>
        <w:rPr>
          <w:rFonts w:ascii="Times New Roman" w:cs="Times New Roman" w:eastAsia="Times New Roman" w:hAnsi="Times New Roman"/>
          <w:sz w:val="17"/>
          <w:szCs w:val="17"/>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a director of the Corporation, intends to serve the entire term until the next meeting at which such candidate would face re-election.</w:t>
      </w:r>
    </w:p>
    <w:p>
      <w:pPr>
        <w:spacing w:after="0" w:line="179" w:lineRule="exact"/>
        <w:rPr>
          <w:rFonts w:ascii="Times New Roman" w:cs="Times New Roman" w:eastAsia="Times New Roman" w:hAnsi="Times New Roman"/>
          <w:sz w:val="17"/>
          <w:szCs w:val="17"/>
          <w:color w:val="auto"/>
        </w:rPr>
      </w:pPr>
    </w:p>
    <w:p>
      <w:pPr>
        <w:ind w:right="20" w:firstLine="436"/>
        <w:spacing w:after="0" w:line="253"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ind w:right="80" w:firstLine="436"/>
        <w:spacing w:after="0" w:line="256"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candidate nominated pursuant to Section 2.6(a)(ii)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87" w:lineRule="exact"/>
        <w:rPr>
          <w:rFonts w:ascii="Times New Roman" w:cs="Times New Roman" w:eastAsia="Times New Roman" w:hAnsi="Times New Roman"/>
          <w:sz w:val="18"/>
          <w:szCs w:val="18"/>
          <w:color w:val="auto"/>
        </w:rPr>
      </w:pPr>
    </w:p>
    <w:p>
      <w:pPr>
        <w:ind w:right="620" w:firstLine="436"/>
        <w:spacing w:after="0" w:line="282"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candidate for nomination shall be eligible to be seated as a director of the Corporation unless nominated in accordance with Section 2.5 and this Section 2.6 and elected as a director.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 </w:t>
      </w:r>
      <w:r>
        <w:rPr>
          <w:rFonts w:ascii="Times New Roman" w:cs="Times New Roman" w:eastAsia="Times New Roman" w:hAnsi="Times New Roman"/>
          <w:sz w:val="18"/>
          <w:szCs w:val="18"/>
          <w:u w:val="single" w:color="auto"/>
          <w:color w:val="auto"/>
        </w:rPr>
        <w:t>Notice of Stockholders’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of stockholders, the purpose or purposes for which such meeting is called.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stockholders. A quorum, once established at a meeting, shall not be broken by the withdrawal of enough votes to leave less than a quorum. If, however, a quorum is not present or represented at any meeting of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Adjourned Meeting;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1" w:name="page42"/>
    <w:bookmarkEnd w:id="4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these bylaws or the DGCL, each stockholder shall be entitled to one (1) vote for each share of capital stock held by such stockholder.</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Record Date for Stockholder Meetings and Other Purposes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2" w:name="page43"/>
    <w:bookmarkEnd w:id="42"/>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Exchange Act,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8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by the Board.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2.15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25" w:lineRule="exact"/>
        <w:rPr>
          <w:sz w:val="20"/>
          <w:szCs w:val="20"/>
          <w:color w:val="auto"/>
        </w:rPr>
      </w:pPr>
    </w:p>
    <w:p>
      <w:pPr>
        <w:ind w:right="400" w:firstLine="987"/>
        <w:spacing w:after="0" w:line="282"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61"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inspector(s); and</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Delivery to the Corporation.</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Election, Qualification and Term of Office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Resignation and Vacancies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Place of Meetings; Meetings by Telephone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Special Meetings;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Chairperson of the Board, the Chief Executive Officer, the President, the Secretary or a majority of the total number of directors constituting the Board.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1200" w:hanging="213"/>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Board Action without a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46" w:name="page47"/>
    <w:bookmarkEnd w:id="4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3.10 </w:t>
      </w:r>
      <w:r>
        <w:rPr>
          <w:rFonts w:ascii="Times New Roman" w:cs="Times New Roman" w:eastAsia="Times New Roman" w:hAnsi="Times New Roman"/>
          <w:sz w:val="18"/>
          <w:szCs w:val="18"/>
          <w:u w:val="single" w:color="auto"/>
          <w:color w:val="auto"/>
        </w:rPr>
        <w:t>Fees and Compensation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37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Committees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2" w:lineRule="exact"/>
        <w:rPr>
          <w:sz w:val="20"/>
          <w:szCs w:val="20"/>
          <w:color w:val="auto"/>
        </w:rPr>
      </w:pPr>
    </w:p>
    <w:p>
      <w:pPr>
        <w:ind w:left="4" w:right="520" w:hanging="4"/>
        <w:spacing w:after="0" w:line="260" w:lineRule="auto"/>
        <w:tabs>
          <w:tab w:leader="none" w:pos="2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adopt, or recommend to the stockholders, any action or matter expressly required by the DGCL to be submitted to stockholders for approval, or (ii) adopt, amend or repeal any bylaw of the Corporation.</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Committee Minutes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Meetings and Actions of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204" w:hanging="213"/>
        <w:spacing w:after="0"/>
        <w:tabs>
          <w:tab w:leader="none" w:pos="12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meetings by telephone);</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22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notice);</w:t>
      </w:r>
    </w:p>
    <w:p>
      <w:pPr>
        <w:spacing w:after="0" w:line="22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(board action without a meeting); and</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7.13 (waiver of notice),</w:t>
      </w: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424" w:right="340" w:hanging="4433"/>
        <w:spacing w:after="0" w:line="454" w:lineRule="auto"/>
        <w:tabs>
          <w:tab w:leader="none" w:pos="12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 17</w:t>
      </w:r>
    </w:p>
    <w:p>
      <w:pPr>
        <w:sectPr>
          <w:pgSz w:w="11900" w:h="16838" w:orient="portrait"/>
          <w:cols w:equalWidth="0" w:num="1">
            <w:col w:w="10964"/>
          </w:cols>
          <w:pgMar w:left="436" w:top="270" w:right="499" w:bottom="1440" w:gutter="0" w:footer="0" w:header="0"/>
        </w:sectPr>
      </w:pPr>
    </w:p>
    <w:bookmarkStart w:id="47" w:name="page48"/>
    <w:bookmarkEnd w:id="47"/>
    <w:p>
      <w:pPr>
        <w:ind w:left="1260" w:hanging="273"/>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meetings of committees may also be called by resolution of the Board or the chairperson of the applicable committee; and</w:t>
      </w:r>
    </w:p>
    <w:p>
      <w:pPr>
        <w:spacing w:after="0" w:line="225" w:lineRule="exact"/>
        <w:rPr>
          <w:rFonts w:ascii="Times New Roman" w:cs="Times New Roman" w:eastAsia="Times New Roman" w:hAnsi="Times New Roman"/>
          <w:sz w:val="18"/>
          <w:szCs w:val="18"/>
          <w:color w:val="auto"/>
        </w:rPr>
      </w:pPr>
    </w:p>
    <w:p>
      <w:pPr>
        <w:ind w:right="520" w:firstLine="987"/>
        <w:spacing w:after="0" w:line="312" w:lineRule="auto"/>
        <w:tabs>
          <w:tab w:leader="none" w:pos="130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Subcommittees.</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Appointment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Board shall appoint the officers of the Corporation, except such officers as may be appointed in accordance with the provisions of Section 5.3 of these bylaws.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Subordinate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Removal and Resignation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40"/>
        <w:spacing w:after="0" w:line="312" w:lineRule="auto"/>
        <w:rPr>
          <w:sz w:val="20"/>
          <w:szCs w:val="20"/>
          <w:color w:val="auto"/>
        </w:rPr>
      </w:pPr>
      <w:r>
        <w:rPr>
          <w:rFonts w:ascii="Times New Roman" w:cs="Times New Roman" w:eastAsia="Times New Roman" w:hAnsi="Times New Roman"/>
          <w:sz w:val="17"/>
          <w:szCs w:val="17"/>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40"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Vacancies in 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or as provided in Section 5.2.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Representation of Shares of Other Corporations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the President of the Corporation, or any other person authorized by the Board, the Chief Executive Officer or the President, is authorized to vote, represent and exercise on behalf of the Corporation all rights incident to any and all shares or voting securities of any other corporation or other person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Compensation.</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 - Records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70" w:right="519" w:bottom="1440" w:gutter="0" w:footer="0" w:header="0"/>
        </w:sectPr>
      </w:pPr>
    </w:p>
    <w:bookmarkStart w:id="49" w:name="page50"/>
    <w:bookmarkEnd w:id="49"/>
    <w:p>
      <w:pPr>
        <w:ind w:left="4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 - General Matters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Execution of Corporate Contracts and Instruments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agent or employee, no officer, agent or employee shall have any power or authority to bind the Company by any contract or engagement or to pledge its credit or to render it liable for any purpose or for any amount.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Corporation shall be uncertificated, provided that the Board by resolution may provide that some or all of the shares of any class or series of stock of the Corporation may be represented by certificate.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any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Special Designation of Certificates.</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Shares Without Certificates</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Construction;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7.10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Stock Transfer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right="220" w:firstLine="987"/>
        <w:spacing w:after="0" w:line="282" w:lineRule="auto"/>
        <w:tabs>
          <w:tab w:leader="none" w:pos="12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 Notice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Delivery of Notice; Notice by Electronic Transmission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52" w:name="page53"/>
    <w:bookmarkEnd w:id="52"/>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117" w:lineRule="exact"/>
        <w:rPr>
          <w:sz w:val="20"/>
          <w:szCs w:val="20"/>
          <w:color w:val="auto"/>
        </w:rPr>
      </w:pPr>
    </w:p>
    <w:p>
      <w:pPr>
        <w:ind w:left="1204" w:hanging="213"/>
        <w:spacing w:after="0"/>
        <w:tabs>
          <w:tab w:leader="none" w:pos="12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117"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posting and (B) the giving of such separate notice; and</w:t>
      </w:r>
    </w:p>
    <w:p>
      <w:pPr>
        <w:spacing w:after="0" w:line="98"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0"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IX - Indemnification</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“covered person”),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53" w:name="page54"/>
    <w:bookmarkEnd w:id="5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9.2 </w:t>
      </w:r>
      <w:r>
        <w:rPr>
          <w:rFonts w:ascii="Times New Roman" w:cs="Times New Roman" w:eastAsia="Times New Roman" w:hAnsi="Times New Roman"/>
          <w:sz w:val="18"/>
          <w:szCs w:val="18"/>
          <w:u w:val="single" w:color="auto"/>
          <w:color w:val="auto"/>
        </w:rPr>
        <w:t>Indemnification of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Prepayment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Corporation shall to the fullest extent not prohibited by applicable law pay the expenses (including attorneys’ fees) actually and reasonably incurred by any covered person, and may pay the expenses actually and reasonably incurred by any employee or agent of the Corporation, in defending any Proceeding in advance of its final disposition; provided, however,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183" w:lineRule="exact"/>
        <w:rPr>
          <w:sz w:val="20"/>
          <w:szCs w:val="20"/>
          <w:color w:val="auto"/>
        </w:rPr>
      </w:pPr>
    </w:p>
    <w:p>
      <w:pPr>
        <w:ind w:left="4" w:right="60" w:firstLine="440"/>
        <w:spacing w:after="0" w:line="270" w:lineRule="auto"/>
        <w:rPr>
          <w:sz w:val="20"/>
          <w:szCs w:val="20"/>
          <w:color w:val="auto"/>
        </w:rPr>
      </w:pPr>
      <w:r>
        <w:rPr>
          <w:rFonts w:ascii="Times New Roman" w:cs="Times New Roman" w:eastAsia="Times New Roman" w:hAnsi="Times New Roman"/>
          <w:sz w:val="17"/>
          <w:szCs w:val="17"/>
          <w:color w:val="auto"/>
        </w:rPr>
        <w:t>Notwithstanding the foregoing, unless otherwise determined pursuant to Section 9.5, no advance shall be made by the Corporation to an officer of the Corporation (except by reason of the fact that such officer is or was a director of the Corporation,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w:t>
      </w:r>
    </w:p>
    <w:p>
      <w:pPr>
        <w:spacing w:after="0" w:line="3" w:lineRule="exact"/>
        <w:rPr>
          <w:sz w:val="20"/>
          <w:szCs w:val="20"/>
          <w:color w:val="auto"/>
        </w:rPr>
      </w:pPr>
    </w:p>
    <w:p>
      <w:pPr>
        <w:ind w:left="4" w:right="200" w:hanging="4"/>
        <w:spacing w:after="0" w:line="255" w:lineRule="auto"/>
        <w:tabs>
          <w:tab w:leader="none" w:pos="2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Determination;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9.5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Amendment or Repeal;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55" w:name="page56"/>
    <w:bookmarkEnd w:id="5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action by stockholders shall require, in addition to any other vote required by the Certificate of Incorporation or applicable law, the affirmative vote of the holders of at least two-thirds of the voting power of all the then-outstanding shares of voting stock of the Corporation with the power to vote generally in an election of directors, voting together as a single class. Notwithstanding the foregoing, a bylaw amendment adopted by stockholders which specifies the votes that shall be necessary for the election of directors shall not be further amended or repealed by the Board.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 Forum Selection</w:t>
      </w:r>
    </w:p>
    <w:p>
      <w:pPr>
        <w:spacing w:after="0" w:line="22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Certificate of Incorporation or these bylaws (as either may be amended from time to time) or (iv) any action, suit or proceeding asserting a claim against the Corporation governed by the internal affairs doctrine; and (b) subject to the preceding provisions of this Article XI,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56" w:name="page57"/>
    <w:bookmarkEnd w:id="56"/>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or entity purchasing or otherwise acquiring any interest in any security of the Corporation shall be deemed to have notice of and consented to this Article XI. This Article XI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XI shall not apply to suits brought to enforce any liability or duty created by the Exchange Act or any other claim for which the federal courts of the United States have exclusive jurisdiction.</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any provision or provisions of this Article XI shall be held to be invalid, illegal or unenforceable as applied to any circumstance for any reason whatsoever, (a) the validity, legality and enforceability of such provisions in any other circumstance and of the remaining provisions of this Article XI (including, without limitation, each portion of any paragraph of this Article XI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 - 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SPECIMEN COMMON STOCK 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___</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TEAMSHARES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Under the Laws of the State of Delaware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20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7"/>
          <w:szCs w:val="17"/>
          <w:color w:val="auto"/>
        </w:rPr>
        <w:t>CUSIP [To Be Assigned]</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This certifies that </w:t>
      </w:r>
      <w:r>
        <w:rPr>
          <w:rFonts w:ascii="Times New Roman" w:cs="Times New Roman" w:eastAsia="Times New Roman" w:hAnsi="Times New Roman"/>
          <w:sz w:val="18"/>
          <w:szCs w:val="18"/>
          <w:color w:val="auto"/>
        </w:rPr>
        <w:t>____ is the owner of ____ fully paid and non-assessable shares of common stock, par value $0.0001 per share (the “</w:t>
      </w:r>
      <w:r>
        <w:rPr>
          <w:rFonts w:ascii="Times New Roman" w:cs="Times New Roman" w:eastAsia="Times New Roman" w:hAnsi="Times New Roman"/>
          <w:sz w:val="18"/>
          <w:szCs w:val="18"/>
          <w:b w:val="1"/>
          <w:bCs w:val="1"/>
          <w:i w:val="1"/>
          <w:iCs w:val="1"/>
          <w:color w:val="auto"/>
        </w:rPr>
        <w:t>Common</w:t>
      </w:r>
    </w:p>
    <w:p>
      <w:pPr>
        <w:spacing w:after="0" w:line="3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of Teamshares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transferable on the books of the Company in person or by duly authorized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attorney upon surrender of this certificate properly endorsed.</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Witness the facsimile signature of the duly authorized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27946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w:t>
      </w:r>
    </w:p>
    <w:p>
      <w:pPr>
        <w:sectPr>
          <w:pgSz w:w="11900" w:h="16838" w:orient="portrait"/>
          <w:cols w:equalWidth="0" w:num="1">
            <w:col w:w="11020"/>
          </w:cols>
          <w:pgMar w:left="440" w:top="117" w:right="439"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TEAMSHARES INC.</w:t>
      </w:r>
    </w:p>
    <w:p>
      <w:pPr>
        <w:spacing w:after="0" w:line="22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will furnish without charge to each stockholder who so requests, a statement of the powers, designations, preferences and relative, participating, optional or other special rights of each class of stock or series thereof of the Company and the qualifications, limitations, or restrictions of such preferences and/or rights. This certificate and the shares represented thereby are issued and shall be held subject to all the provisions of the Company’s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020"/>
          </w:cols>
          <w:pgMar w:left="440" w:top="266" w:right="4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 ENT – as tenants by the entireties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UNIF GIFT MIN ACT ____ Custodian ____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(Cust)         (Minor)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Uniform Gifts to Minors Act</w:t>
      </w:r>
    </w:p>
    <w:p>
      <w:pPr>
        <w:spacing w:after="0" w:line="99" w:lineRule="exact"/>
        <w:rPr>
          <w:sz w:val="20"/>
          <w:szCs w:val="20"/>
          <w:color w:val="auto"/>
        </w:rPr>
      </w:pPr>
    </w:p>
    <w:p>
      <w:pPr>
        <w:sectPr>
          <w:pgSz w:w="11900" w:h="16838" w:orient="portrait"/>
          <w:cols w:equalWidth="0" w:num="2">
            <w:col w:w="7040" w:space="720"/>
            <w:col w:w="32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JT TEN – as joint tenants with right of survivorship</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and not as tenants in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5715</wp:posOffset>
            </wp:positionV>
            <wp:extent cx="3077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8340"/>
        <w:spacing w:after="0"/>
        <w:rPr>
          <w:sz w:val="20"/>
          <w:szCs w:val="20"/>
          <w:color w:val="auto"/>
        </w:rPr>
      </w:pPr>
      <w:r>
        <w:rPr>
          <w:rFonts w:ascii="Times New Roman" w:cs="Times New Roman" w:eastAsia="Times New Roman" w:hAnsi="Times New Roman"/>
          <w:sz w:val="18"/>
          <w:szCs w:val="18"/>
          <w:color w:val="auto"/>
        </w:rPr>
        <w:t>(State)</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value received, ________ hereby sell, assign and transfer unto</w:t>
      </w:r>
    </w:p>
    <w:p>
      <w:pPr>
        <w:spacing w:after="0" w:line="227"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NUMBER(S) OF ASSIGNEE(S))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TYPEWRITE NAME(S) AND ADDRESS(ES), INCLUDING ZIP CODE, OR ASSIGNEE(S))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shares of Common Stock represented by the within Certificate, and hereby irrevocably constitutes and appoints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Attorney to transfer the said shares of Common Stock on the books of the within named Company with full power of substitution in the premises.</w:t>
      </w:r>
    </w:p>
    <w:p>
      <w:pPr>
        <w:sectPr>
          <w:pgSz w:w="11900" w:h="16838" w:orient="portrait"/>
          <w:cols w:equalWidth="0" w:num="1">
            <w:col w:w="11020"/>
          </w:cols>
          <w:pgMar w:left="440" w:top="266" w:right="439" w:bottom="1440" w:gutter="0" w:footer="0" w:header="0"/>
          <w:type w:val="continuous"/>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Dated: </w:t>
      </w:r>
      <w:r>
        <w:rPr>
          <w:rFonts w:ascii="Times New Roman" w:cs="Times New Roman" w:eastAsia="Times New Roman" w:hAnsi="Times New Roman"/>
          <w:sz w:val="18"/>
          <w:szCs w:val="18"/>
          <w:color w:val="auto"/>
        </w:rPr>
        <w:t>_________</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The signature(s) to this assignment must correspond with the name as written upon the fact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in every particular, without alteration or enlargement or any change whatever.</w:t>
      </w:r>
    </w:p>
    <w:p>
      <w:pPr>
        <w:spacing w:after="0" w:line="159" w:lineRule="exact"/>
        <w:rPr>
          <w:sz w:val="20"/>
          <w:szCs w:val="20"/>
          <w:color w:val="auto"/>
        </w:rPr>
      </w:pPr>
    </w:p>
    <w:p>
      <w:pPr>
        <w:sectPr>
          <w:pgSz w:w="11900" w:h="16838" w:orient="portrait"/>
          <w:cols w:equalWidth="0" w:num="2">
            <w:col w:w="2480" w:space="720"/>
            <w:col w:w="7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Signature(s) Guaranteed:</w:t>
      </w:r>
    </w:p>
    <w:p>
      <w:pPr>
        <w:sectPr>
          <w:pgSz w:w="11900" w:h="16838" w:orient="portrait"/>
          <w:cols w:equalWidth="0" w:num="1">
            <w:col w:w="11020"/>
          </w:cols>
          <w:pgMar w:left="440" w:top="266" w:right="439" w:bottom="1440" w:gutter="0" w:footer="0" w:header="0"/>
          <w:type w:val="continuous"/>
        </w:sectPr>
      </w:pPr>
    </w:p>
    <w:bookmarkStart w:id="59" w:name="page60"/>
    <w:bookmarkEnd w:id="59"/>
    <w:p>
      <w:pPr>
        <w:ind w:right="3419"/>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t>THE SIGNATURE(S) MUST BE GUARANTEED BY AN ELIGIBLE GUARANTOR INSTITUTION (BANKS, STOCKBROKERS, SAVINGS AND LOAN ASSOCIATIONS AND CREDIT UNIONS WITH MEMBERSHIP IN AN APPROVED SIGNATURE GUARANTEE MEDALLION PROGRAM, PURSUANT TO S.E.C. RULE 17Ad UNDER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SECURITIES EXCHANGE ACT OF 1934, AS AMENDED (OR ANY SUCCESSOR RULE).</w:t>
      </w:r>
    </w:p>
    <w:p>
      <w:pPr>
        <w:sectPr>
          <w:pgSz w:w="11900" w:h="16838" w:orient="portrait"/>
          <w:cols w:equalWidth="0" w:num="1">
            <w:col w:w="10019"/>
          </w:cols>
          <w:pgMar w:left="440" w:top="337"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EMPLOYEE LOCK-UP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made and entered into as of ____________________ by and among (i) </w:t>
      </w:r>
      <w:r>
        <w:rPr>
          <w:rFonts w:ascii="Times New Roman" w:cs="Times New Roman" w:eastAsia="Times New Roman" w:hAnsi="Times New Roman"/>
          <w:sz w:val="18"/>
          <w:szCs w:val="18"/>
          <w:b w:val="1"/>
          <w:bCs w:val="1"/>
          <w:color w:val="auto"/>
        </w:rPr>
        <w:t>Teamshares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(ii) the undersigned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Holder is a holder of shares of Class A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(the “</w:t>
      </w:r>
      <w:r>
        <w:rPr>
          <w:rFonts w:ascii="Times New Roman" w:cs="Times New Roman" w:eastAsia="Times New Roman" w:hAnsi="Times New Roman"/>
          <w:sz w:val="18"/>
          <w:szCs w:val="18"/>
          <w:b w:val="1"/>
          <w:bCs w:val="1"/>
          <w:i w:val="1"/>
          <w:iCs w:val="1"/>
          <w:color w:val="auto"/>
        </w:rPr>
        <w:t>Company Securities</w:t>
      </w:r>
      <w:r>
        <w:rPr>
          <w:rFonts w:ascii="Times New Roman" w:cs="Times New Roman" w:eastAsia="Times New Roman" w:hAnsi="Times New Roman"/>
          <w:sz w:val="18"/>
          <w:szCs w:val="18"/>
          <w:color w:val="auto"/>
        </w:rPr>
        <w:t>”) in such amounts and classes or series as set forth beside Holder’s name in the Company records held by the Company’s transfer agent for the Company Securities; and</w:t>
      </w:r>
    </w:p>
    <w:p>
      <w:pPr>
        <w:spacing w:after="0" w:line="17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view of the value of the Company Securities held by Holder, and for other good and valuable consideration the receipt of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acknowledged, the parties desire to enter into this Agreement, pursuant to which the Company Securities held by Holder as of the date of this Agreement, any restricted stock units, options or other equity awards in respect of Common Stock granted to Holder prior to or after the date of this Agreement and any shares of Common Stock or other Company securities issued or issuable upon the vesting, settlement or exercise of any such restricted stock units, options or other equity awards (collectively, together with any securities paid as dividends or distributions with respect to any of the foregoing or into which any of the foregoing are exchanged or converted,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shall become subject to the restrictions set forth herein.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intending to be legally bound hereby, the parties hereby agree as follows:</w:t>
      </w:r>
    </w:p>
    <w:p>
      <w:pPr>
        <w:spacing w:after="0" w:line="121" w:lineRule="exact"/>
        <w:rPr>
          <w:sz w:val="20"/>
          <w:szCs w:val="20"/>
          <w:color w:val="auto"/>
        </w:rPr>
      </w:pPr>
    </w:p>
    <w:p>
      <w:pPr>
        <w:ind w:left="624" w:hanging="184"/>
        <w:spacing w:after="0"/>
        <w:tabs>
          <w:tab w:leader="none" w:pos="6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Provisions</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hereby agrees not to, during the period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commencing from the date of this Agreement and ending six</w:t>
      </w:r>
    </w:p>
    <w:p>
      <w:pPr>
        <w:spacing w:after="0" w:line="31" w:lineRule="exact"/>
        <w:rPr>
          <w:rFonts w:ascii="Times New Roman" w:cs="Times New Roman" w:eastAsia="Times New Roman" w:hAnsi="Times New Roman"/>
          <w:sz w:val="18"/>
          <w:szCs w:val="18"/>
          <w:color w:val="auto"/>
        </w:rPr>
      </w:pPr>
    </w:p>
    <w:p>
      <w:pPr>
        <w:ind w:left="4" w:right="120" w:hanging="4"/>
        <w:spacing w:after="0" w:line="250"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date of this Agreement, or, in the case of any Restricted Securities issued after the date of this Agreement, commencing from the date of the issuance of such Restricted Securities and ending six (6) months after the date of the issuance of such Restricted Securities: (A) sell, offer to sell, contract or agree to sell, hypothecate, pledge, grant any option to purchase or otherwise dispose of or enter into any agreement to dispose of, directly or indirectly, or establish or increase a put equivalent position or liquidate or decrease a call equivalent position within the meaning of Section 16 of the Exchange Act, and the rules and regulations of the SEC promulgated thereunder with any respect to, any Restricted Securities,</w:t>
      </w:r>
    </w:p>
    <w:p>
      <w:pPr>
        <w:spacing w:after="0" w:line="1" w:lineRule="exact"/>
        <w:rPr>
          <w:rFonts w:ascii="Times New Roman" w:cs="Times New Roman" w:eastAsia="Times New Roman" w:hAnsi="Times New Roman"/>
          <w:sz w:val="18"/>
          <w:szCs w:val="18"/>
          <w:color w:val="auto"/>
        </w:rPr>
      </w:pPr>
    </w:p>
    <w:p>
      <w:pPr>
        <w:ind w:left="4"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enter into any swap or other arrangement that transfers to another, in whole or in part, any of the economic consequences of ownership of the Restricted Securities, or (C) publicly announce any intention to effect any transaction specified in clause (A) or (B), (any of the foregoing described in clauses (A) and (B), a “</w:t>
      </w:r>
      <w:r>
        <w:rPr>
          <w:rFonts w:ascii="Times New Roman" w:cs="Times New Roman" w:eastAsia="Times New Roman" w:hAnsi="Times New Roman"/>
          <w:sz w:val="18"/>
          <w:szCs w:val="18"/>
          <w:b w:val="1"/>
          <w:bCs w:val="1"/>
          <w:i w:val="1"/>
          <w:iCs w:val="1"/>
          <w:color w:val="auto"/>
        </w:rPr>
        <w:t>Prohibited Transfer</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not apply to the transfer of any or all of the Restricted Securities owned by Holder (i) by gift, will or intestate succession upon the death of Holder, (ii) to any Permitted Transferee (as defined below), (iii) pursuant to a court order or settlement agreement related to the distribution of assets in connection with the dissolution of marriage or civil union, (iv) to the extent required by any legal or regulatory order, (v) to any corporations, partnerships, limited liability companies, investment funds or vehicles or other business entities controlled or managed by the Holder or any of its affiliates, and (vi) in a sale of shares of Common Stock pursuant to a broker-assisted sale solely in order to satisfy applicable exercise price and/or tax withholding obligations, provided that, in each case, such transfer is made in accordance with applicable law and is permitted pursuant to the terms and conditions of (A) the applicable equity incentive plan and any award agreement evidencing the applicable equity award and (B) any Company insider trading policy; provided, however, that in any of</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61" w:name="page62"/>
    <w:bookmarkEnd w:id="61"/>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cases (i) through (v) it shall be a condition to such transfer that the transferee executes and delivers to the Company an agreement stating that the transferee is receiving and holding the Restricted Securities subject to the provisions of this Agreement applicable to Holder, and there shall be no further transfer of such Restricted Securities except in accordance with this Agreement; provided, further, that any sale pursuant to clause (vi) shall be limited to the minimum number of shares necessary to satisfy such exercise price and applicable tax withholding obligations and shall not permit any other sale, transfer or disposition of Restricted Securities.</w:t>
      </w:r>
    </w:p>
    <w:p>
      <w:pPr>
        <w:spacing w:after="0" w:line="71" w:lineRule="exact"/>
        <w:rPr>
          <w:sz w:val="20"/>
          <w:szCs w:val="20"/>
          <w:color w:val="auto"/>
        </w:rPr>
      </w:pPr>
    </w:p>
    <w:p>
      <w:pPr>
        <w:ind w:right="120" w:firstLine="987"/>
        <w:spacing w:after="0" w:line="255"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xml:space="preserve">” shall mean: (i) the members of Holder’s immediate family (for purposes of this Agreement, “immediate family” shall mean with respect to any natural person, any of the following: such person’s spouse, the siblings of such person and his or her spouse, and the direct descendants and ascendants (including adopted and step children and parents) of such person and his or her spouses and siblings), (ii) any trust for the direct or indirect benefit of Holder or the immediate family of Holder, (iii) if Holder is a trust, the trustor or beneficiary of such trust or to the estate of a beneficiary of such trust, (iv) if Holder is an entity, as a distribution to limited partners, shareholders, members of, or owners of similar equity interests in Holder, (v) a nominee or custodian of a person to whom a transfer can be made under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and (vi) any affiliate of Holder. Holder further agrees to execute such agreements as may be reasonably requested by the Company that are consistent with the foregoing or that are necessary to give further effect thereto.</w:t>
      </w:r>
    </w:p>
    <w:p>
      <w:pPr>
        <w:spacing w:after="0" w:line="80"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Prohibited Transfer is made or attempted contrary to the provisions of this Agreement, such purported Prohibited Transfer shall be null and void ab initio, and the Company, and any duly appointed transfer agent for the registration or transfer of the securities described therein, are hereby authorized to refuse to recognize any such purported transferee of the Restricted Securities as one of its equity holders for any purpose. In order to enforce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Company may impose stop-transfer instructions with respect to the Restricted Securities of Holder (and Permitted Transferees and assigns thereof) until the end of the Lock-Up Period.</w:t>
      </w:r>
    </w:p>
    <w:p>
      <w:pPr>
        <w:spacing w:after="0" w:line="75" w:lineRule="exact"/>
        <w:rPr>
          <w:rFonts w:ascii="Times New Roman" w:cs="Times New Roman" w:eastAsia="Times New Roman" w:hAnsi="Times New Roman"/>
          <w:sz w:val="18"/>
          <w:szCs w:val="18"/>
          <w:color w:val="auto"/>
        </w:rPr>
      </w:pPr>
    </w:p>
    <w:p>
      <w:pPr>
        <w:ind w:right="640" w:firstLine="987"/>
        <w:spacing w:after="0" w:line="282"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Lock-Up Period, each certificate (or book entry statement) evidencing any Restricted Securities shall be stamped or otherwise imprinted with a legend in substantially the following form, in addition to any other applicable legends:</w:t>
      </w:r>
    </w:p>
    <w:p>
      <w:pPr>
        <w:spacing w:after="0" w:line="54" w:lineRule="exact"/>
        <w:rPr>
          <w:sz w:val="20"/>
          <w:szCs w:val="20"/>
          <w:color w:val="auto"/>
        </w:rPr>
      </w:pPr>
    </w:p>
    <w:p>
      <w:pPr>
        <w:ind w:left="440" w:right="100"/>
        <w:spacing w:after="0" w:line="276" w:lineRule="auto"/>
        <w:rPr>
          <w:sz w:val="20"/>
          <w:szCs w:val="20"/>
          <w:color w:val="auto"/>
        </w:rPr>
      </w:pPr>
      <w:r>
        <w:rPr>
          <w:rFonts w:ascii="Times New Roman" w:cs="Times New Roman" w:eastAsia="Times New Roman" w:hAnsi="Times New Roman"/>
          <w:sz w:val="17"/>
          <w:szCs w:val="17"/>
          <w:color w:val="auto"/>
        </w:rPr>
        <w:t>“THE SECURITIES REPRESENTED BY THIS CERTIFICATE ARE SUBJECT TO RESTRICTIONS ON TRANSFER SET FORTH IN A LOCK-UP AGREEMENT, DATED AS OF _________________, BY AND AMONG THE ISSUER OF SUCH SECURITIES (THE “ISSUER”)</w:t>
      </w:r>
    </w:p>
    <w:p>
      <w:pPr>
        <w:spacing w:after="0" w:line="1" w:lineRule="exact"/>
        <w:rPr>
          <w:sz w:val="20"/>
          <w:szCs w:val="20"/>
          <w:color w:val="auto"/>
        </w:rPr>
      </w:pPr>
    </w:p>
    <w:p>
      <w:pPr>
        <w:ind w:left="440" w:right="200"/>
        <w:spacing w:after="0" w:line="260" w:lineRule="auto"/>
        <w:rPr>
          <w:sz w:val="20"/>
          <w:szCs w:val="20"/>
          <w:color w:val="auto"/>
        </w:rPr>
      </w:pPr>
      <w:r>
        <w:rPr>
          <w:rFonts w:ascii="Times New Roman" w:cs="Times New Roman" w:eastAsia="Times New Roman" w:hAnsi="Times New Roman"/>
          <w:sz w:val="18"/>
          <w:szCs w:val="18"/>
          <w:color w:val="auto"/>
        </w:rPr>
        <w:t>AND THE ISSUER’S SECURITY HOLDER NAMED THEREIN, AS AMENDED. A COPY OF SUCH LOCK-UP AGREEMENT WILL BE FURNISHED WITHOUT CHARGE BY THE ISSUER TO THE HOLDER HEREOF UPON WRITTEN REQUEST.”</w:t>
      </w:r>
    </w:p>
    <w:p>
      <w:pPr>
        <w:spacing w:after="0" w:line="73" w:lineRule="exact"/>
        <w:rPr>
          <w:sz w:val="20"/>
          <w:szCs w:val="20"/>
          <w:color w:val="auto"/>
        </w:rPr>
      </w:pPr>
    </w:p>
    <w:p>
      <w:pPr>
        <w:ind w:right="600" w:firstLine="987"/>
        <w:spacing w:after="0" w:line="282" w:lineRule="auto"/>
        <w:tabs>
          <w:tab w:leader="none" w:pos="121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any doubt, Holder shall retain all of its rights as a stockholder of the Company during the Lock-Up Period, including the right to vote any Restricted Securities.</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Each of the parties hereto represents and warrants that such party has full power and authority to enter into this Agreement and further agrees that this Agreement and all of the provisions hereof shall be binding upon and inure to the benefit of the parties hereto and their respective permitted successors and assigns. This Agreement and all obligations of Holder are personal to Holder and may not be transferred or delegated by Holder at any time without the prior written consent of the Company. The Company may freely assign any or all of its rights under this Agreement, in whole or in part, to any successor entity (whether by merger, consolidation, equity sale, asset sale or otherwise) without obtaining the consent or approval of Holder.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62" w:name="page63"/>
    <w:bookmarkEnd w:id="62"/>
    <w:p>
      <w:pPr>
        <w:ind w:left="4" w:right="40" w:firstLine="987"/>
        <w:spacing w:after="0" w:line="266" w:lineRule="auto"/>
        <w:tabs>
          <w:tab w:leader="none" w:pos="12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Parties</w:t>
      </w:r>
      <w:r>
        <w:rPr>
          <w:rFonts w:ascii="Times New Roman" w:cs="Times New Roman" w:eastAsia="Times New Roman" w:hAnsi="Times New Roman"/>
          <w:sz w:val="18"/>
          <w:szCs w:val="18"/>
          <w:color w:val="auto"/>
        </w:rPr>
        <w:t>. Nothing contained in this Agreement or in any instrument or document executed by any party in connection with the transactions contemplated hereby shall create any rights in, or be deemed to have been executed for the benefit of, any person or entity that is not a party hereto or thereto or a successor or permitted assign of such a party.</w:t>
      </w:r>
    </w:p>
    <w:p>
      <w:pPr>
        <w:spacing w:after="0" w:line="67"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shall be governed by, construed and enforced in accordance with the Laws of the State of Delaware without regard to the conflict of laws principles thereof. All Actions arising out of or relating to this Agreement shall be heard and determined exclusively in the Court of Chancery of the State of Delaware in and for New Castle County, Delaware or, if such court shall not have jurisdiction, any federal court located in the State of Delaware or other Delaware state court (or, in each case, any appellate courts thereof)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xml:space="preserve">”). Each party hereby (a) submits to the exclusive jurisdiction of any Specified Court for the purpose of any Action arising out of or relating to this Agreement brought by any party and (b) irrevocably waives, and agrees not to assert by way of motion, defense or otherwise, in any such Action, any claim that it is not subject personally to the jurisdiction of the Specified Courts, that its property is exempt or immune from attachment or execution, that the Action is brought in an inconvenient forum, that the venue of the Action is improper, or that this Agreement or the transactions contemplated hereby may not be enforced in or by any Specified Court. Each party agrees that a final judgment in any Action shall be conclusive and may be enforced in other jurisdictions by suit on the judgment or in any other manner provided by Law. Each party irrevocably consents to the service of the summons and complaint and any other process in any other Action relating to the transactions contemplated by this Agreement, on behalf of itself, or its property, by personal delivery of copies of such process to such party at the applicable address set forth in </w:t>
      </w:r>
      <w:r>
        <w:rPr>
          <w:rFonts w:ascii="Times New Roman" w:cs="Times New Roman" w:eastAsia="Times New Roman" w:hAnsi="Times New Roman"/>
          <w:sz w:val="18"/>
          <w:szCs w:val="18"/>
          <w:u w:val="single" w:color="auto"/>
          <w:color w:val="auto"/>
        </w:rPr>
        <w:t>Section 2(g)</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affect the right of any party to serve legal process in any other manner permitted by Law.</w:t>
      </w:r>
    </w:p>
    <w:p>
      <w:pPr>
        <w:spacing w:after="0" w:line="79"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2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THE PARTIES HERETO HEREBY WAIVES TO THE FULLEST EXTENT PERMITTED BY APPLICABLE LAW ANY RIGHT IT MAY HAVE TO A TRIAL BY JURY WITH RESPECT TO ANY ACTION DIRECTLY OR INDIRECTLY ARISING OUT OF, UNDER OR IN CONNECTION WITH THIS AGREEMENT OR THE TRANSACTIONS CONTEMPLATED HEREBY. EACH PARTY HERETO (A) CERTIFIES THAT NO REPRESENTATIVE OF ANY OTHER PARTY HAS REPRESENTED, EXPRESSLY OR OTHERWISE, THAT SUCH OTHER PARTY WOULD NOT, IN THE EVENT OF ANY ACTION, SEEK TO ENFORCE THAT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right="80" w:firstLine="987"/>
        <w:spacing w:after="0" w:line="276" w:lineRule="auto"/>
        <w:tabs>
          <w:tab w:leader="none" w:pos="12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titles and subtitles contained in this Agreement are solely for the purpose of reference, are not part of the agreement of the parties and shall not in any way affect the meaning or interpretation of this Agreement. In this Agreement, unless the context otherwise requires:</w:t>
      </w:r>
    </w:p>
    <w:p>
      <w:pPr>
        <w:ind w:left="4" w:right="80" w:hanging="4"/>
        <w:spacing w:after="0" w:line="251" w:lineRule="auto"/>
        <w:tabs>
          <w:tab w:leader="none" w:pos="21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pronoun used in this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(iii) the words “herein,” “hereto,” and “hereby” and other words of similar import in this Agreement shall be deemed in each case to refer to this Agreement as a whole and not to any particular section or other subdivision of this Agreement; and (iv) the term “or” means “and/or”.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63" w:name="page64"/>
    <w:bookmarkEnd w:id="63"/>
    <w:p>
      <w:pPr>
        <w:ind w:right="40" w:firstLine="987"/>
        <w:spacing w:after="0" w:line="258" w:lineRule="auto"/>
        <w:tabs>
          <w:tab w:leader="none" w:pos="12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consents, waivers and other communications hereunder shall be in writing and shall be deemed to have been duly given when delivered (a) in person, (b) by email with affirmative confirmation of receipt, (c) one (1) Business Day after being sent, if sent by reputable, nationally recognized overnight courier service or (d) three (3) Business Days after being mailed, if sent by registered or certified mail, pre-paid and return receipt requested, in each case to the applicable party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If to Company, to:</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with copies (which shall not constitute notice) to:</w:t>
      </w:r>
    </w:p>
    <w:p>
      <w:pPr>
        <w:spacing w:after="0" w:line="144"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Teamshares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Sullivan Street, 3B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Jordyn Ashley, Corporate Counsel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811 Main Street, Suite 3700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Ryan Maierson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Nick Dhesi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83185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220"/>
          </w:cols>
          <w:pgMar w:left="440" w:top="270" w:right="49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Holder, to</w:t>
      </w:r>
      <w:r>
        <w:rPr>
          <w:rFonts w:ascii="Times New Roman" w:cs="Times New Roman" w:eastAsia="Times New Roman" w:hAnsi="Times New Roman"/>
          <w:sz w:val="18"/>
          <w:szCs w:val="18"/>
          <w:color w:val="auto"/>
        </w:rPr>
        <w:t>: the address set forth by Holder’s name in the Company’s files and on file with the Company’s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9" w:lineRule="exact"/>
        <w:rPr>
          <w:sz w:val="20"/>
          <w:szCs w:val="20"/>
          <w:color w:val="auto"/>
        </w:rPr>
      </w:pPr>
    </w:p>
    <w:p>
      <w:pPr>
        <w:ind w:right="60" w:firstLine="987"/>
        <w:spacing w:after="0" w:line="258"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Any term of this Agreement may be amended and the observance of any term of this Agreement may be waived (either generally or in a particular instance, and either retroactively or prospectively) only with the written consent of the Company and Holder. No failure or delay by a party in exercising any right hereunder shall operate as a waiver thereof. No waivers of or exceptions to any term, condition, or provision of this Agreement, in any one or more instances, shall be deemed to be or construed as a further or continuing waiver of any such term, condition, or provision.</w:t>
      </w:r>
    </w:p>
    <w:p>
      <w:pPr>
        <w:spacing w:after="0" w:line="7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79" w:lineRule="exact"/>
        <w:rPr>
          <w:rFonts w:ascii="Times New Roman" w:cs="Times New Roman" w:eastAsia="Times New Roman" w:hAnsi="Times New Roman"/>
          <w:sz w:val="18"/>
          <w:szCs w:val="18"/>
          <w:color w:val="auto"/>
        </w:rPr>
      </w:pPr>
    </w:p>
    <w:p>
      <w:pPr>
        <w:ind w:firstLine="987"/>
        <w:spacing w:after="0" w:line="255" w:lineRule="auto"/>
        <w:tabs>
          <w:tab w:leader="none" w:pos="12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Holder acknowledges that its obligations under this Agreement are unique, recognizes and affirms that in the event of a breach of this Agreement by Holder, money damages will be inadequate and the Company will have no adequate remedy at law, and agrees that irreparable damage would occur in the event that any of the provisions of this Agreement were not performed by Holder in accordance with their specific terms or were otherwise breached. Accordingly, the Company shall be entitled to an injunction or restraining order to prevent breaches of this Agreement by Holder and to enforce specifically the terms and provisions hereof, without the requirement to post any bond or other security or to prove that money damages would be inadequate, this being in addition to any other right or remedy to which such party may be entitled under this Agreement, at law or in equity.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type w:val="continuous"/>
        </w:sectPr>
      </w:pPr>
    </w:p>
    <w:bookmarkStart w:id="64" w:name="page65"/>
    <w:bookmarkEnd w:id="64"/>
    <w:p>
      <w:pPr>
        <w:ind w:left="-60" w:right="20" w:firstLine="987"/>
        <w:spacing w:after="0" w:line="255" w:lineRule="auto"/>
        <w:tabs>
          <w:tab w:leader="none" w:pos="11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xml:space="preserve">. This Agreement constitutes the full and entire understanding and agreement among the parties with respect to the subject matter hereof, and any other written or oral agreement relating to the subject matter hereof existing between the parties is expressly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foregoing shall not affect the rights and obligations of the parties under any employee option or incentive award plan. Notwithstanding the foregoing, nothing in this Agreement shall limit any of the rights or remedies of the Company or any of the obligations of Holder under any other agreement between Holder and the Company or any certificate or instrument executed by Holder in favor of the Company, and nothing in any other agreement, certificate or instrument shall limit any of the rights or remedies of the Company or any of the obligations of Holder under this Agreement.</w:t>
      </w:r>
    </w:p>
    <w:p>
      <w:pPr>
        <w:spacing w:after="0" w:line="80" w:lineRule="exact"/>
        <w:rPr>
          <w:rFonts w:ascii="Times New Roman" w:cs="Times New Roman" w:eastAsia="Times New Roman" w:hAnsi="Times New Roman"/>
          <w:sz w:val="18"/>
          <w:szCs w:val="18"/>
          <w:color w:val="auto"/>
        </w:rPr>
      </w:pPr>
    </w:p>
    <w:p>
      <w:pPr>
        <w:ind w:left="-60" w:right="380" w:firstLine="987"/>
        <w:spacing w:after="0" w:line="266" w:lineRule="auto"/>
        <w:tabs>
          <w:tab w:leader="none" w:pos="11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another party’s request and without further consideration (but at the requesting party’s reasonable cost and expense), each party shall execute and deliver such additional documents and take all such further action as may be reasonably necessary to consummate the transactions contemplated by this Agreement.</w:t>
      </w:r>
    </w:p>
    <w:p>
      <w:pPr>
        <w:spacing w:after="0" w:line="67" w:lineRule="exact"/>
        <w:rPr>
          <w:rFonts w:ascii="Times New Roman" w:cs="Times New Roman" w:eastAsia="Times New Roman" w:hAnsi="Times New Roman"/>
          <w:sz w:val="18"/>
          <w:szCs w:val="18"/>
          <w:color w:val="auto"/>
        </w:rPr>
      </w:pPr>
    </w:p>
    <w:p>
      <w:pPr>
        <w:ind w:left="-60" w:firstLine="987"/>
        <w:spacing w:after="0" w:line="266" w:lineRule="auto"/>
        <w:tabs>
          <w:tab w:leader="none" w:pos="11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facsimile, pdf or other electronic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 Signature Pages Follow}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70"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Lock-Up Agreement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TEAMSHARES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Brown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i w:val="1"/>
          <w:iCs w:val="1"/>
          <w:color w:val="auto"/>
        </w:rPr>
        <w:t>{Additional Signature on the Following Page}</w:t>
      </w:r>
    </w:p>
    <w:p>
      <w:pPr>
        <w:sectPr>
          <w:pgSz w:w="11900" w:h="16838" w:orient="portrait"/>
          <w:cols w:equalWidth="0" w:num="1">
            <w:col w:w="9579"/>
          </w:cols>
          <w:pgMar w:left="880" w:top="266" w:right="1440"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have executed this Employee Lock-Up Agreement as of the date first written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of Holder: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1971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66"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335280</wp:posOffset>
            </wp:positionV>
            <wp:extent cx="6998970" cy="492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TEAMSHARES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INCENTIVE AWARD PLAN</w:t>
      </w:r>
    </w:p>
    <w:p>
      <w:pPr>
        <w:spacing w:after="0" w:line="29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8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8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AVAILABLE FOR AWARDS</w:t>
      </w:r>
    </w:p>
    <w:p>
      <w:pPr>
        <w:spacing w:after="0" w:line="207"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Subject to adjustment under Article VIII and the terms of this Article IV, the maximum number of Shares that may be issued pursuant to Awards under the Plan shall be equal to the Overall Share Limit. As of the Effective Date, the Company will cease granting awards under the Prior Plan; however, the Prior Plan Awards will remain subject to the terms of the Prior Plan. Shares issued under the Plan may consist of authorized but unissued Shares, Shares purchased on the open market or treasury Shares. Shares issued under the Plan will be shares of Common Stock.</w:t>
      </w:r>
    </w:p>
    <w:p>
      <w:pPr>
        <w:sectPr>
          <w:pgSz w:w="11900" w:h="16838" w:orient="portrait"/>
          <w:cols w:equalWidth="0" w:num="1">
            <w:col w:w="11020"/>
          </w:cols>
          <w:pgMar w:left="440" w:top="117" w:right="439" w:bottom="1440" w:gutter="0" w:footer="0" w:header="0"/>
        </w:sectPr>
      </w:pPr>
    </w:p>
    <w:bookmarkStart w:id="68" w:name="page69"/>
    <w:bookmarkEnd w:id="68"/>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 If all or any part of an Award or a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the following Shares will, as applicable, become or again be available for Award grants under the Plan: (a)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(b) Shares subject to a Stock Appreciation Right that are not issued in connection with the stock settlement of the Stock Appreciation Right on exercise thereof and (c) Shares purchased on the open market with the cash proceeds from the exercise of Options. The payment of Dividend Equivalents in cash in conjunction with any outstanding Awards shall not count against the Overall Share Limit. Further notwithstanding anything to the contrary contained herein, no Shares shall again be available for future grants of Awards under the Plan pursuant to this Article IV to the extent that such return of shares would cause the Plan to be a “formula” plan or constitute a “material revision” or “material amendment” subject to stockholder approval under the requirements of the established stock exchange on which the Company’s securities are traded.</w:t>
      </w:r>
    </w:p>
    <w:p>
      <w:pPr>
        <w:spacing w:after="0" w:line="197"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100,000,000 Shares may be issued pursuant to the exercise of Incentive Stock Options.</w:t>
      </w:r>
    </w:p>
    <w:p>
      <w:pPr>
        <w:spacing w:after="0" w:line="162"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spacing w:after="0" w:line="19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Non-Employee Director Compensation</w:t>
      </w:r>
      <w:r>
        <w:rPr>
          <w:rFonts w:ascii="Times New Roman" w:cs="Times New Roman" w:eastAsia="Times New Roman" w:hAnsi="Times New Roman"/>
          <w:sz w:val="18"/>
          <w:szCs w:val="18"/>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commencing with the calendar year following the calendar year in which the Effective Date occurs, the sum of any cash compensation, or other compensation, and the value (determined as of the grant date in accordance with Financial Accounting Standards Board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69" w:name="page70"/>
    <w:bookmarkEnd w:id="69"/>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Accounting Standards Codification Topic 718, or any successor thereto) of Awards granted to a non-employee Director as compensation for services as a non-employee Director with respect to any fiscal year of the Company may not exceed $750,000 (increased to $1,000,000 in a non-employee Director’s initial calendar year of service as a non-employee Director or any calendar year during which a non-employee Director serves as chair of the Board or lead independent Director), which limits shall not apply to the compensation for any non-employee Director of the Company who serves in any capacity in addition to that of a non-employee Director for which he or she receives additional compensation.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207"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Such amount shall be subject to any limitations of the Plan or that the Administrator may impose and payable in cash, Shares valued at Fair Market Value or a combination of the two as the Administrator may determine or provide in the Award Agreement.</w:t>
      </w:r>
    </w:p>
    <w:p>
      <w:pPr>
        <w:spacing w:after="0" w:line="18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Sections 424 and 409A of the Code.</w:t>
      </w:r>
    </w:p>
    <w:p>
      <w:pPr>
        <w:spacing w:after="0" w:line="187"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w:t>
      </w:r>
    </w:p>
    <w:p>
      <w:pPr>
        <w:spacing w:after="0" w:line="3" w:lineRule="exact"/>
        <w:rPr>
          <w:sz w:val="20"/>
          <w:szCs w:val="20"/>
          <w:color w:val="auto"/>
        </w:rPr>
      </w:pPr>
    </w:p>
    <w:p>
      <w:pPr>
        <w:ind w:left="4" w:right="100" w:hanging="4"/>
        <w:spacing w:after="0" w:line="251" w:lineRule="auto"/>
        <w:tabs>
          <w:tab w:leader="none" w:pos="2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the extension last beyond the ten year term of the applicable Option or Stock Appreciation Right.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70" w:name="page71"/>
    <w:bookmarkEnd w:id="7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Sections 9.10 and 10.8, any Company insider trading policy (including blackout periods) and Applicable Laws, the exercise price of an Option must be paid by:</w:t>
      </w:r>
    </w:p>
    <w:p>
      <w:pPr>
        <w:spacing w:after="0" w:line="162" w:lineRule="exact"/>
        <w:rPr>
          <w:sz w:val="20"/>
          <w:szCs w:val="20"/>
          <w:color w:val="auto"/>
        </w:rPr>
      </w:pPr>
    </w:p>
    <w:p>
      <w:pPr>
        <w:ind w:right="200" w:firstLine="987"/>
        <w:spacing w:after="0" w:line="282"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61"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83" w:lineRule="exact"/>
        <w:rPr>
          <w:rFonts w:ascii="Times New Roman" w:cs="Times New Roman" w:eastAsia="Times New Roman" w:hAnsi="Times New Roman"/>
          <w:sz w:val="18"/>
          <w:szCs w:val="18"/>
          <w:color w:val="auto"/>
        </w:rPr>
      </w:pPr>
    </w:p>
    <w:p>
      <w:pPr>
        <w:ind w:right="500" w:firstLine="987"/>
        <w:spacing w:after="0" w:line="282"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(either by actual delivery or attestation) of Shares owned by the Participant valued at their Fair Market Value;</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surrendering Shares then issuable upon the Option’s exercise valued at their Fair Market Value on the exercise date;</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of a promissory note or any other property that the Administrator determines is good and valuable consideration; or</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Company, any combination of the above payment forms approved by the Administrator.</w:t>
      </w:r>
    </w:p>
    <w:p>
      <w:pPr>
        <w:spacing w:after="0" w:line="225"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1" w:name="page72"/>
    <w:bookmarkEnd w:id="7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207"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54"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the terms of this Section 6.2(a),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a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91"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ind w:firstLine="987"/>
        <w:spacing w:after="0" w:line="266"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75" w:lineRule="exact"/>
        <w:rPr>
          <w:rFonts w:ascii="Times New Roman" w:cs="Times New Roman" w:eastAsia="Times New Roman" w:hAnsi="Times New Roman"/>
          <w:sz w:val="18"/>
          <w:szCs w:val="18"/>
          <w:color w:val="auto"/>
        </w:rPr>
      </w:pPr>
    </w:p>
    <w:p>
      <w:pPr>
        <w:ind w:right="420" w:firstLine="987"/>
        <w:spacing w:after="0" w:line="282"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STOCK OR CASH BASED AWARDS; DIVIDEND EQUIVALENTS</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Dividend Equivalents with respect to an Award shall only be paid out to a Participant to the extent that the vesting conditions are subsequently satisfied. All such Dividend Equivalent payments will be made no later than March 15 of the calendar year following the calendar year in which the right to the Dividend Equivalent payment becomes nonforfeitable, unless determined otherwise by the Administrator or unless deferred in a manner intended to comply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-440690</wp:posOffset>
            </wp:positionV>
            <wp:extent cx="285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FOR CHANGES IN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CERTAIN OTHER EVENTS</w:t>
      </w:r>
    </w:p>
    <w:p>
      <w:pPr>
        <w:spacing w:after="0" w:line="20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Restructuring(a)</w:t>
      </w:r>
      <w:r>
        <w:rPr>
          <w:rFonts w:ascii="Times New Roman" w:cs="Times New Roman" w:eastAsia="Times New Roman" w:hAnsi="Times New Roman"/>
          <w:sz w:val="18"/>
          <w:szCs w:val="18"/>
          <w:color w:val="auto"/>
        </w:rPr>
        <w:t xml:space="preserve"> . In connection with any Equity Restructuring, notwithstanding anything to the contrary in this Article VIII, the Administrator will equitably adjust each outstanding Award as it deems appropriate to reflect the Equity Restructuring, which may include (if applicable) adjusting the number and type of securities subject to each outstanding Award, adjusting the Award’s exercise price, grant price and/or applicable performance goals, granting new Awards to Participants, and/or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in connection with the occurrence of such transaction or event (any action to give effect to a change in Applicable Law or accounting principles may be made within a reasonable period of time after such change),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73" w:name="page74"/>
    <w:bookmarkEnd w:id="73"/>
    <w:p>
      <w:pPr>
        <w:ind w:firstLine="987"/>
        <w:spacing w:after="0" w:line="256"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provided, further, that Awards held by members of the Board will be deemed settled in Shares on or immediately prior to the applicable event if the Administrator takes action under this clause (a);</w:t>
      </w:r>
    </w:p>
    <w:p>
      <w:pPr>
        <w:spacing w:after="0" w:line="187"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61" w:lineRule="exact"/>
        <w:rPr>
          <w:rFonts w:ascii="Times New Roman" w:cs="Times New Roman" w:eastAsia="Times New Roman" w:hAnsi="Times New Roman"/>
          <w:sz w:val="18"/>
          <w:szCs w:val="18"/>
          <w:color w:val="auto"/>
        </w:rPr>
      </w:pPr>
    </w:p>
    <w:p>
      <w:pPr>
        <w:ind w:right="180" w:firstLine="987"/>
        <w:spacing w:after="0" w:line="261"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or equivalent value thereof in cash, with appropriate adjustments as to the number and kind of shares and/or applicable exercise or purchase price, in all cases, as determined by the Administrator;</w:t>
      </w:r>
    </w:p>
    <w:p>
      <w:pPr>
        <w:spacing w:after="0" w:line="179"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Effect of a Change in Control</w:t>
      </w:r>
      <w:r>
        <w:rPr>
          <w:rFonts w:ascii="Times New Roman" w:cs="Times New Roman" w:eastAsia="Times New Roman" w:hAnsi="Times New Roman"/>
          <w:sz w:val="18"/>
          <w:szCs w:val="18"/>
          <w:color w:val="auto"/>
        </w:rPr>
        <w:t>. Notwithstanding the provisions of Section 8.2, if a Change in Control occurs and a Participant’s Awards are not continued, converted, assumed, or replaced with a substantially similar award by (a) the Company, or (b)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Assumed</w:t>
      </w:r>
      <w:r>
        <w:rPr>
          <w:rFonts w:ascii="Times New Roman" w:cs="Times New Roman" w:eastAsia="Times New Roman" w:hAnsi="Times New Roman"/>
          <w:sz w:val="18"/>
          <w:szCs w:val="18"/>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An Award will be considered replaced with a substantially similar award if the Award is exchanged for an amount of cash or other property with a value equal to the amount that could</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74" w:name="page75"/>
    <w:bookmarkEnd w:id="74"/>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w:t>
      </w:r>
    </w:p>
    <w:p>
      <w:pPr>
        <w:spacing w:after="0" w:line="180"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Administrative Stand Still</w:t>
      </w:r>
      <w:r>
        <w:rPr>
          <w:rFonts w:ascii="Times New Roman" w:cs="Times New Roman" w:eastAsia="Times New Roman" w:hAnsi="Times New Roman"/>
          <w:sz w:val="17"/>
          <w:szCs w:val="17"/>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spacing w:after="0" w:line="164"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 APPLICABLE TO AWARDS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Designated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18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which may be written or electronic, as the Administrator determines. Each Award may contain terms and conditions in addition to those set forth in the Plan (including vesting conditions, which may be based wholly or in part on the achievement of specified Performance Criteria).</w:t>
      </w:r>
    </w:p>
    <w:p>
      <w:pPr>
        <w:spacing w:after="0" w:line="176"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Discretion</w:t>
      </w:r>
      <w:r>
        <w:rPr>
          <w:rFonts w:ascii="Times New Roman" w:cs="Times New Roman" w:eastAsia="Times New Roman" w:hAnsi="Times New Roman"/>
          <w:sz w:val="17"/>
          <w:szCs w:val="17"/>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75" w:name="page76"/>
    <w:bookmarkEnd w:id="75"/>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9.4 </w:t>
      </w:r>
      <w:r>
        <w:rPr>
          <w:rFonts w:ascii="Times New Roman" w:cs="Times New Roman" w:eastAsia="Times New Roman" w:hAnsi="Times New Roman"/>
          <w:sz w:val="17"/>
          <w:szCs w:val="17"/>
          <w:u w:val="single" w:color="auto"/>
          <w:color w:val="auto"/>
        </w:rPr>
        <w:t>Termination of Status</w:t>
      </w:r>
      <w:r>
        <w:rPr>
          <w:rFonts w:ascii="Times New Roman" w:cs="Times New Roman" w:eastAsia="Times New Roman" w:hAnsi="Times New Roman"/>
          <w:sz w:val="17"/>
          <w:szCs w:val="17"/>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58"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Participant must pay the Company or a Subsidiary, or make provision satisfactory to the Administrator for payment of, any taxes required by Applicable Law to be withheld in connection with such Participant’s Awards by the date of the event creating the tax liability. The Company or any Subsidiary may deduct an amount sufficient to satisfy such tax obligations based on the applicable statutory withholding rates (or such other rate as may be determined by the Company or a Subsidiary after considering any accounting consequences or costs) from any payment of any kind otherwise due to a Participant. In the absence of a contrary determination by the Company or a Subsidiary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subject to Section 9.10,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withholding rate in the applicable jurisdiction at the time of such withholding (or such other rate as may be required to avoid the liability classification of the applicable award under generally accepted accounting principles in the United States of America). Subject to Section 9.10,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20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 of Award; Repricing</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76" w:name="page77"/>
    <w:bookmarkEnd w:id="76"/>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80"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Cash Settlement</w:t>
      </w:r>
      <w:r>
        <w:rPr>
          <w:rFonts w:ascii="Times New Roman" w:cs="Times New Roman" w:eastAsia="Times New Roman" w:hAnsi="Times New Roman"/>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6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 the right at any time to dismiss or otherwise terminate its relationship with a Participant free from any liability or claim under the Plan or any Award, except as expressly provided in an Award Agreement or in the Plan.</w:t>
      </w:r>
    </w:p>
    <w:p>
      <w:pPr>
        <w:spacing w:after="0" w:line="180"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Rights as Stockholder; Certificates</w:t>
      </w:r>
      <w:r>
        <w:rPr>
          <w:rFonts w:ascii="Times New Roman" w:cs="Times New Roman" w:eastAsia="Times New Roman" w:hAnsi="Times New Roman"/>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87"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Unless earlier terminated by the Board, the Plan will become effective on the date of the consummation of the transactions contemplated by the Business Combination Agreement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will remain in effect until terminated by the Administrator in accordance with the Plan. Notwithstanding anything to the contrary in the Plan, an Incentive Stock Option may not be granted under the Plan after 10 years from the earlier of (i) the date the Board adopted the Plan, or (ii) the date the Company’s stockholders approved the Plan. Notwithstanding anything to the contrary contained herein, if the Plan is not approved by the Company’s stockholders, the Plan will not become effective and no Awards will be granted under the Plan.</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Administrator may amend, suspend or terminate the Plan at any time; provided that no amendment to the Plan,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87"/>
        <w:spacing w:after="0" w:line="258"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78" w:name="page79"/>
    <w:bookmarkEnd w:id="78"/>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83" w:lineRule="exact"/>
        <w:rPr>
          <w:sz w:val="20"/>
          <w:szCs w:val="20"/>
          <w:color w:val="auto"/>
        </w:rPr>
      </w:pPr>
    </w:p>
    <w:p>
      <w:pPr>
        <w:ind w:right="40" w:firstLine="987"/>
        <w:spacing w:after="0" w:line="255"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 Furthermore,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88"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and to the fullest extent permitted by Applicable Laws and the Company’s certificate of incorporation and bylaws, (a) no individual acting as a director, officer, other employee or agent of the Company or a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and (b)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8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79" w:name="page80"/>
    <w:bookmarkEnd w:id="7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10.9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the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9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76"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76"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without limitation, any proceeds, gains or other economic benefit actually or constructively received by Participant upon any receipt or exercise of any Award or upon the receipt or sale of any Shares underlying the Award) shall be subject to the provisions of any clawback policy implemented by the Company, including, without limitation, the Company’s Policy for Recovery of Erroneously Awarded Compensation and any other clawback policy adopted to comply with Applicable Laws, as and to the extent set forth in such clawback policy or the Award Agreement.</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there is any conflict, the Plan’s text, rather than such titles or headings, will control.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80" w:name="page81"/>
    <w:bookmarkEnd w:id="80"/>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10.15 </w:t>
      </w:r>
      <w:r>
        <w:rPr>
          <w:rFonts w:ascii="Times New Roman" w:cs="Times New Roman" w:eastAsia="Times New Roman" w:hAnsi="Times New Roman"/>
          <w:sz w:val="18"/>
          <w:szCs w:val="18"/>
          <w:u w:val="single" w:color="auto"/>
          <w:color w:val="auto"/>
        </w:rPr>
        <w:t>Conformity to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7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38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22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w:t>
      </w:r>
    </w:p>
    <w:p>
      <w:pPr>
        <w:spacing w:after="0" w:line="15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any applicable law, including without limitation: (a) provisions of the Code, the Securities Act, the Exchange Act and any rules or regulations thereunder; (b) corporate, securities, tax or other laws, statutes, rules, requirements or regulations, whether U.S. or non-U.S. federal, state or local; and (c) rules of any securities exchange or automated quotation system on which the Shares are listed, quoted or traded.</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Dividend Equivalents, or Other Stock or Cash Based Awards.</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November 14, 2025, by and among Live Oak Acquisition Corp. V, Live Oak Sponsor V LLC, Catalyst Sub Inc., Catalyst Sub 2 LLC and the Company.</w:t>
      </w:r>
    </w:p>
    <w:p>
      <w:pPr>
        <w:spacing w:after="0" w:line="155" w:lineRule="exact"/>
        <w:rPr>
          <w:sz w:val="20"/>
          <w:szCs w:val="20"/>
          <w:color w:val="auto"/>
        </w:rPr>
      </w:pPr>
    </w:p>
    <w:p>
      <w:pPr>
        <w:ind w:right="140" w:firstLine="440"/>
        <w:spacing w:after="0" w:line="269" w:lineRule="auto"/>
        <w:rPr>
          <w:sz w:val="20"/>
          <w:szCs w:val="20"/>
          <w:color w:val="auto"/>
        </w:rPr>
      </w:pPr>
      <w:r>
        <w:rPr>
          <w:rFonts w:ascii="Times New Roman" w:cs="Times New Roman" w:eastAsia="Times New Roman" w:hAnsi="Times New Roman"/>
          <w:sz w:val="17"/>
          <w:szCs w:val="17"/>
          <w:color w:val="auto"/>
        </w:rPr>
        <w:t>11.7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means, in respect of a Participant, either (a) the definition of “Cause” contained in the Participant’s Award Agreement or an effective, written service or employment agreement between the Participant and the Company or a Subsidiary of the Company; or (b) if no such agreement exists or such agreement does not define Cause, then Cause shall mean (i) the Participant’s unauthorized use or disclosure of confidential information or trade secrets of the Company or any of its Subsidiaries or any material breach of a written agreement between the Participant and the Company or any of its Subsidiaries, including without limitation a material breach of any employment, confidentiality, non-compete, non-solicit or similar agreement, (ii) the Participant’s commission of, indictment for or the entry of a plea of guilty or nolo contendere by the Participant to, a felony under the laws of the United States or any state thereof or any crime involving dishonesty or moral turpitude (or any similar crime in any jurisdiction outside the United States), (iii) the Participant’s negligence or willful misconduct in the performance of the Participant’s duties or the Participant’s willful or repeated failure or refusal to substantially perform assigned duties, (iv) any act of fraud, embezzlement, material misappropriation or dishonesty committed by the Participant against the Company or any of its Subsidiaries or (v) any acts, omissions or statements by a Participant which the Company determines to be materially detrimental or damaging to the reputation, operations, prospects or business relations of the Company or any of its Subsidiaries. The findings and decision of the Administrator with respect to any Cause determination will be final and binding for all purposes.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11.8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229" w:lineRule="exact"/>
        <w:rPr>
          <w:sz w:val="20"/>
          <w:szCs w:val="20"/>
          <w:color w:val="auto"/>
        </w:rPr>
      </w:pPr>
    </w:p>
    <w:p>
      <w:pPr>
        <w:ind w:firstLine="987"/>
        <w:spacing w:after="0" w:line="255"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3"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79" w:lineRule="exact"/>
        <w:rPr>
          <w:rFonts w:ascii="Times New Roman" w:cs="Times New Roman" w:eastAsia="Times New Roman" w:hAnsi="Times New Roman"/>
          <w:sz w:val="18"/>
          <w:szCs w:val="18"/>
          <w:color w:val="auto"/>
        </w:rPr>
      </w:pPr>
    </w:p>
    <w:p>
      <w:pPr>
        <w:ind w:right="80" w:firstLine="1428"/>
        <w:spacing w:after="0" w:line="258" w:lineRule="auto"/>
        <w:tabs>
          <w:tab w:leader="none" w:pos="164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183" w:lineRule="exact"/>
        <w:rPr>
          <w:rFonts w:ascii="Times New Roman" w:cs="Times New Roman" w:eastAsia="Times New Roman" w:hAnsi="Times New Roman"/>
          <w:sz w:val="18"/>
          <w:szCs w:val="18"/>
          <w:color w:val="auto"/>
        </w:rPr>
      </w:pPr>
    </w:p>
    <w:p>
      <w:pPr>
        <w:ind w:right="140" w:firstLine="1428"/>
        <w:spacing w:after="0" w:line="261" w:lineRule="auto"/>
        <w:tabs>
          <w:tab w:leader="none" w:pos="169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(or portion thereof) if such transaction also constitutes a “change in control event,” as defined in Treasury Regulation Section 1.409A-3(i)(5).</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82" w:name="page83"/>
    <w:bookmarkEnd w:id="82"/>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and the regulations issued thereunder.</w:t>
      </w:r>
    </w:p>
    <w:p>
      <w:pPr>
        <w:spacing w:after="0" w:line="225"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 par value $0.0001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Teamshares Inc., a Delaware corporation, or any successor.</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consultant or advisor engaged by the Company or any of its Subsidiaries to render services to such entity, in each case that can be granted an Award that is eligible to be registered on a Form S-8 Registration Statement.</w:t>
      </w:r>
    </w:p>
    <w:p>
      <w:pPr>
        <w:spacing w:after="0" w:line="15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Board member.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permanent and total disability under Section 22(e)(3) of the Code, as amended.</w:t>
      </w:r>
    </w:p>
    <w:p>
      <w:pPr>
        <w:spacing w:after="0" w:line="225"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any of its Subsidiaries.</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as determined by the Administrator, a non-reciprocal transaction between the Company and its stockholders, such as a stock dividend, stock split, spin-off or recapitalization, or a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83" w:name="page84"/>
    <w:bookmarkEnd w:id="83"/>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11.21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(c) without an established market for the Common Stock, the Administrator will determine the Fair Market Value in its discretion.</w:t>
      </w:r>
    </w:p>
    <w:p>
      <w:pPr>
        <w:spacing w:after="0" w:line="183"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intended to qualify as an “incentive stock option” as defined in Section 422 of the Code.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or portion thereof, not intended or not qualifying as an Incentive Stock Option.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 which will either be an Incentive Stock Option or a Non-Qualified Stock Option.</w:t>
      </w:r>
    </w:p>
    <w:p>
      <w:pPr>
        <w:spacing w:after="0" w:line="225"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 awarded to a Participant under Article VII.</w:t>
      </w:r>
    </w:p>
    <w:p>
      <w:pPr>
        <w:spacing w:after="0" w:line="9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the sum of (a) [_____]</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Shares; (b) an annual increase on the first day of each calendar year beginning on and</w:t>
      </w:r>
    </w:p>
    <w:p>
      <w:pPr>
        <w:jc w:val="both"/>
        <w:ind w:left="4" w:right="20"/>
        <w:spacing w:after="0" w:line="263" w:lineRule="auto"/>
        <w:rPr>
          <w:sz w:val="20"/>
          <w:szCs w:val="20"/>
          <w:color w:val="auto"/>
        </w:rPr>
      </w:pPr>
      <w:r>
        <w:rPr>
          <w:rFonts w:ascii="Times New Roman" w:cs="Times New Roman" w:eastAsia="Times New Roman" w:hAnsi="Times New Roman"/>
          <w:sz w:val="18"/>
          <w:szCs w:val="18"/>
          <w:color w:val="auto"/>
        </w:rPr>
        <w:t>including January 1, 2027 and ending on and including January 1, 2036, equal to (i) a number of Shares equal to 4% of the aggregate number of Shares outstanding on the final day of the immediately preceding calendar year, or (ii) such smaller number of Shares as is determined by the Board and (c) any Shares subject to Prior Plan Awards that become available for issuance under the Plan on or following the Effective Date pursuant to Section 4.2 (which shall not exceed [_____]</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Shares).</w:t>
      </w:r>
    </w:p>
    <w:p>
      <w:pPr>
        <w:spacing w:after="0" w:line="4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Service Provider who has been granted an Award.</w:t>
      </w:r>
    </w:p>
    <w:p>
      <w:pPr>
        <w:spacing w:after="0" w:line="22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color w:val="auto"/>
        </w:rPr>
        <w:t>NTD</w:t>
      </w:r>
      <w:r>
        <w:rPr>
          <w:rFonts w:ascii="Times New Roman" w:cs="Times New Roman" w:eastAsia="Times New Roman" w:hAnsi="Times New Roman"/>
          <w:sz w:val="18"/>
          <w:szCs w:val="18"/>
          <w:color w:val="auto"/>
        </w:rPr>
        <w:t>: To equal 7% of the Shares outstanding as of immediately following the Closing of the Business Combination.</w:t>
      </w:r>
    </w:p>
    <w:p>
      <w:pPr>
        <w:spacing w:after="0" w:line="1" w:lineRule="exact"/>
        <w:rPr>
          <w:sz w:val="20"/>
          <w:szCs w:val="20"/>
          <w:color w:val="auto"/>
        </w:rPr>
      </w:pPr>
    </w:p>
    <w:p>
      <w:pPr>
        <w:ind w:left="5424" w:right="2640" w:hanging="5424"/>
        <w:spacing w:after="0" w:line="311" w:lineRule="auto"/>
        <w:tabs>
          <w:tab w:leader="none" w:pos="438"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color w:val="auto"/>
        </w:rPr>
        <w:t>NTD</w:t>
      </w:r>
      <w:r>
        <w:rPr>
          <w:rFonts w:ascii="Times New Roman" w:cs="Times New Roman" w:eastAsia="Times New Roman" w:hAnsi="Times New Roman"/>
          <w:sz w:val="18"/>
          <w:szCs w:val="18"/>
          <w:color w:val="auto"/>
        </w:rPr>
        <w:t>: To equal the number of shares subject to awards outstanding under the 2020 Plan on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84" w:name="page85"/>
    <w:bookmarkEnd w:id="84"/>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2026 Incentive Award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Teamshares Inc. 2020 Equity Incentive Plan,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b w:val="1"/>
          <w:bCs w:val="1"/>
          <w:i w:val="1"/>
          <w:iCs w:val="1"/>
          <w:color w:val="auto"/>
        </w:rPr>
        <w:t>Prior Plan Award</w:t>
      </w:r>
      <w:r>
        <w:rPr>
          <w:rFonts w:ascii="Times New Roman" w:cs="Times New Roman" w:eastAsia="Times New Roman" w:hAnsi="Times New Roman"/>
          <w:sz w:val="18"/>
          <w:szCs w:val="18"/>
          <w:color w:val="auto"/>
        </w:rPr>
        <w:t>” means an award outstanding under the Prior Plan as of the Effective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awarded to a Participant under Article VI subject to certain vesting conditions and other restrictions.</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Director.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means a share of Common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stock appreciation right granted under Article V.</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85" w:name="page86"/>
    <w:bookmarkEnd w:id="85"/>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11.41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11.42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means the date the Participant ceases to be a Service Provider.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40" w:top="266" w:right="5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335280</wp:posOffset>
            </wp:positionV>
            <wp:extent cx="6998970" cy="4927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TEAMSHARES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INCENTIVE AWARD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Teamshares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stock option (the</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described in this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subject to the terms and conditions of the Teamshares Inc. 2026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and the Stock Option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11020"/>
          </w:cols>
          <w:pgMar w:left="440" w:top="117" w:right="439" w:bottom="1440" w:gutter="0" w:footer="0" w:header="0"/>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5"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4"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5"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Shares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5"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Final 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5"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5"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5"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[Incentive Stock Option]/[Non-Qualified Stock Option]</w:t>
      </w:r>
    </w:p>
    <w:p>
      <w:pPr>
        <w:spacing w:after="0" w:line="200"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line="3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By accepting (whether in writing, electronically or otherwise)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6"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b w:val="1"/>
          <w:bCs w:val="1"/>
          <w:color w:val="auto"/>
        </w:rPr>
        <w:t>TEAMSHARES INC.</w:t>
      </w:r>
      <w:r>
        <w:rPr>
          <w:sz w:val="20"/>
          <w:szCs w:val="20"/>
          <w:color w:val="auto"/>
        </w:rPr>
        <w:tab/>
      </w:r>
      <w:r>
        <w:rPr>
          <w:rFonts w:ascii="Times New Roman" w:cs="Times New Roman" w:eastAsia="Times New Roman" w:hAnsi="Times New Roman"/>
          <w:sz w:val="17"/>
          <w:szCs w:val="17"/>
          <w:b w:val="1"/>
          <w:bCs w:val="1"/>
          <w:color w:val="auto"/>
        </w:rPr>
        <w:t>PARTICIPANT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65836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6"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33515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33515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type w:val="continuous"/>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Agreement have the meanings specified in the Grant Notice or, if not defined in the Grant Notice, in the Plan.</w:t>
      </w:r>
    </w:p>
    <w:p>
      <w:pPr>
        <w:spacing w:after="0" w:line="37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3"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has granted to Participant the Option effective as of the grant date set forth in the Grant Notice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8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Incorporation of Terms of Plan</w:t>
      </w:r>
      <w:r>
        <w:rPr>
          <w:rFonts w:ascii="Times New Roman" w:cs="Times New Roman" w:eastAsia="Times New Roman" w:hAnsi="Times New Roman"/>
          <w:sz w:val="17"/>
          <w:szCs w:val="17"/>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Commencement of Exercisability</w:t>
      </w:r>
      <w:r>
        <w:rPr>
          <w:rFonts w:ascii="Times New Roman" w:cs="Times New Roman" w:eastAsia="Times New Roman" w:hAnsi="Times New Roman"/>
          <w:sz w:val="18"/>
          <w:szCs w:val="18"/>
          <w:color w:val="auto"/>
        </w:rPr>
        <w:t>. The Option will vest and become exercisable according to the vesting schedule in the Grant Notice (the “</w:t>
      </w: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except that any fraction of a Share as to which the Option would be vested or exercisable will be accumulated and will vest and become exercisable only when a whole Share has accumulated. The Option will immediately expire and be forfeited as to any portion that is not vested and exercisable as of Participant’s Termination of Service for any reason, except as otherwise determined by the Administrator (after taking into consideration any accelerated vesting and exercisability which may occur in connection with such Termination of Service pursuant to this Agreement, an applicable Company plan or any other written agreement between Participant and the Company).</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The Option may not be exercised to any extent by anyone after, and will expire on, the first of the following to occur:</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 The final expiration date in the Grant Notice; provided, however, such final expiration date may be extended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5.3 of the Plan;</w:t>
      </w:r>
    </w:p>
    <w:p>
      <w:pPr>
        <w:spacing w:after="0" w:line="207" w:lineRule="exact"/>
        <w:rPr>
          <w:sz w:val="20"/>
          <w:szCs w:val="20"/>
          <w:color w:val="auto"/>
        </w:rPr>
      </w:pPr>
    </w:p>
    <w:p>
      <w:pPr>
        <w:ind w:right="660" w:firstLine="1979"/>
        <w:spacing w:after="0" w:line="282" w:lineRule="auto"/>
        <w:tabs>
          <w:tab w:leader="none" w:pos="22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three months from the date of Participant’s Termination of Service, unless Participant’s Termination of Service is for Cause or by reason of Participant’s death or Disability;</w:t>
      </w:r>
    </w:p>
    <w:p>
      <w:pPr>
        <w:spacing w:after="0" w:line="161" w:lineRule="exact"/>
        <w:rPr>
          <w:rFonts w:ascii="Times New Roman" w:cs="Times New Roman" w:eastAsia="Times New Roman" w:hAnsi="Times New Roman"/>
          <w:sz w:val="18"/>
          <w:szCs w:val="18"/>
          <w:color w:val="auto"/>
        </w:rPr>
      </w:pPr>
    </w:p>
    <w:p>
      <w:pPr>
        <w:ind w:right="60" w:firstLine="1979"/>
        <w:spacing w:after="0" w:line="282" w:lineRule="auto"/>
        <w:tabs>
          <w:tab w:leader="none" w:pos="222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the expiration of one year from the date of Participant’s Termination of Service by reason of Participant’s death or Disability; and</w:t>
      </w:r>
    </w:p>
    <w:p>
      <w:pPr>
        <w:spacing w:after="0" w:line="161"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Administrator may otherwise approve, Participant’s Termination of Service for Cause.</w:t>
      </w:r>
    </w:p>
    <w:p>
      <w:pPr>
        <w:sectPr>
          <w:pgSz w:w="11900" w:h="16838" w:orient="portrait"/>
          <w:cols w:equalWidth="0" w:num="1">
            <w:col w:w="11020"/>
          </w:cols>
          <w:pgMar w:left="440" w:top="266" w:right="439" w:bottom="1440" w:gutter="0" w:footer="0" w:header="0"/>
        </w:sectPr>
      </w:pPr>
    </w:p>
    <w:bookmarkStart w:id="88" w:name="page89"/>
    <w:bookmarkEnd w:id="8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99" w:lineRule="exact"/>
        <w:rPr>
          <w:sz w:val="20"/>
          <w:szCs w:val="20"/>
          <w:color w:val="auto"/>
        </w:rPr>
      </w:pPr>
    </w:p>
    <w:p>
      <w:pPr>
        <w:jc w:val="both"/>
        <w:ind w:right="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Person Eligible to Exercise</w:t>
      </w:r>
      <w:r>
        <w:rPr>
          <w:rFonts w:ascii="Times New Roman" w:cs="Times New Roman" w:eastAsia="Times New Roman" w:hAnsi="Times New Roman"/>
          <w:sz w:val="17"/>
          <w:szCs w:val="17"/>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40"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Tax Withholding; Exercise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6"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3.3(b) and 3.3(c), payment of the exercise price and withholding tax obligations with respect to the Option may be by any of the following, or a combination thereof, as determined by the Company (or, if Participant is subject to Section 16 of the Exchange Act, the Administrator):</w:t>
      </w:r>
    </w:p>
    <w:p>
      <w:pPr>
        <w:spacing w:after="0" w:line="6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check;</w:t>
      </w:r>
    </w:p>
    <w:p>
      <w:pPr>
        <w:spacing w:after="0" w:line="117" w:lineRule="exact"/>
        <w:rPr>
          <w:rFonts w:ascii="Times New Roman" w:cs="Times New Roman" w:eastAsia="Times New Roman" w:hAnsi="Times New Roman"/>
          <w:sz w:val="18"/>
          <w:szCs w:val="18"/>
          <w:color w:val="auto"/>
        </w:rPr>
      </w:pPr>
    </w:p>
    <w:p>
      <w:pPr>
        <w:ind w:right="20" w:firstLine="1428"/>
        <w:spacing w:after="0" w:line="282" w:lineRule="auto"/>
        <w:tabs>
          <w:tab w:leader="none" w:pos="169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by delivery of Shares, including Shares delivered by attestation and Shares retained from the Option creating the tax obligation, valued at their Fair Market Value on the date of delivery;</w:t>
      </w:r>
    </w:p>
    <w:p>
      <w:pPr>
        <w:spacing w:after="0" w:line="53" w:lineRule="exact"/>
        <w:rPr>
          <w:rFonts w:ascii="Times New Roman" w:cs="Times New Roman" w:eastAsia="Times New Roman" w:hAnsi="Times New Roman"/>
          <w:sz w:val="18"/>
          <w:szCs w:val="18"/>
          <w:color w:val="auto"/>
        </w:rPr>
      </w:pPr>
    </w:p>
    <w:p>
      <w:pPr>
        <w:ind w:firstLine="1428"/>
        <w:spacing w:after="0" w:line="258" w:lineRule="auto"/>
        <w:tabs>
          <w:tab w:leader="none" w:pos="174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9.10 of the Plan,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exercise of the Option, and that the broker has been directed to deliver promptly to the Company funds sufficient to satisfy the applicable exercise price and/or tax withholding obligations; provided, that payment of such proceeds is then made to the Company at such time as may be required by the Administrator; or</w:t>
      </w:r>
    </w:p>
    <w:p>
      <w:pPr>
        <w:spacing w:after="0" w:line="7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by the Company withholding of Shares otherwise issuable upon exercise of this Option.</w:t>
      </w:r>
    </w:p>
    <w:p>
      <w:pPr>
        <w:spacing w:after="0" w:line="225"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(or, if Participant is subject to Section 16 of the Exchange Act, the Administrator) otherwise determines, and subject to Section 9.10 of the Plan, payment of any exercise price and/or applicable withholding tax obligations with respect to the Award shall be (i) if Participant is not subject to Section 16 of the Exchange Act, by delivery (including electronically or telephonically to the extent permitted by the Company) of an irrevocable and unconditional undertaking by a broker acceptable to the Company to deliver promptly to the Company sufficient funds to satisfy the exercise price and/or applicable tax withholding obligations or (ii) if Participant is subject to Section 16 of the Exchange Act, by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exercise of the Award, and that the broker has been directed to deliver promptly to the Company funds sufficient to satisfy the exercise price and/or applicable tax withholding obligations; provided, that payment of such proceeds is then made to the Company at such time as may be required by the Administrator.</w:t>
      </w:r>
    </w:p>
    <w:p>
      <w:pPr>
        <w:sectPr>
          <w:pgSz w:w="11900" w:h="16838" w:orient="portrait"/>
          <w:cols w:equalWidth="0" w:num="1">
            <w:col w:w="10940"/>
          </w:cols>
          <w:pgMar w:left="440" w:top="266" w:right="519" w:bottom="1440" w:gutter="0" w:footer="0" w:header="0"/>
        </w:sectPr>
      </w:pPr>
    </w:p>
    <w:bookmarkStart w:id="89" w:name="page90"/>
    <w:bookmarkEnd w:id="89"/>
    <w:p>
      <w:pPr>
        <w:ind w:left="4" w:right="60" w:firstLine="987"/>
        <w:spacing w:after="0" w:line="276" w:lineRule="auto"/>
        <w:tabs>
          <w:tab w:leader="none" w:pos="124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Section 9.5 of the Plan, the applicable tax withholding obligation will be determined based on Participant’s Applicable Withholding Rate. Participant’s “</w:t>
      </w:r>
      <w:r>
        <w:rPr>
          <w:rFonts w:ascii="Times New Roman" w:cs="Times New Roman" w:eastAsia="Times New Roman" w:hAnsi="Times New Roman"/>
          <w:sz w:val="17"/>
          <w:szCs w:val="17"/>
          <w:b w:val="1"/>
          <w:bCs w:val="1"/>
          <w:i w:val="1"/>
          <w:iCs w:val="1"/>
          <w:color w:val="auto"/>
        </w:rPr>
        <w:t>Applicable Withholding Rate</w:t>
      </w:r>
      <w:r>
        <w:rPr>
          <w:rFonts w:ascii="Times New Roman" w:cs="Times New Roman" w:eastAsia="Times New Roman" w:hAnsi="Times New Roman"/>
          <w:sz w:val="17"/>
          <w:szCs w:val="17"/>
          <w:color w:val="auto"/>
        </w:rPr>
        <w:t>” shall mean (i) if Participant is subject to Section 16 of the Exchange Act, the greater of</w:t>
      </w:r>
    </w:p>
    <w:p>
      <w:pPr>
        <w:ind w:left="4" w:hanging="4"/>
        <w:spacing w:after="0" w:line="251" w:lineRule="auto"/>
        <w:tabs>
          <w:tab w:leader="none" w:pos="2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provided, however, that (i)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(ii) the number of Shares tendered or withheld, if applicable, shall be rounded up to the nearest whole Share sufficient to cover the applicable tax withholding obligation, to the extent rounding up to the nearest whole Share does not result in the liability classification of the Option under generally accepted accounting principles.</w:t>
      </w:r>
    </w:p>
    <w:p>
      <w:pPr>
        <w:spacing w:after="0" w:line="193"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the exercise price and all taxes owed in connection with the Option (and, with respect to taxes,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39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9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Option is subject to adjustment, modification and termination in certain events as provided in this Agreement and the Plan.</w:t>
      </w:r>
    </w:p>
    <w:p>
      <w:pPr>
        <w:spacing w:after="0" w:line="162"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The Option and the Shares issuable hereunder shall be subject to any clawback or recoupment policy in effect on the Grant Date or as may be adopted or maintained by the Company following the Grant Date, including the Company’s Policy for Recovery of Erroneously Awarded Compensation.</w:t>
      </w:r>
    </w:p>
    <w:p>
      <w:pPr>
        <w:spacing w:after="0" w:line="176" w:lineRule="exact"/>
        <w:rPr>
          <w:sz w:val="20"/>
          <w:szCs w:val="20"/>
          <w:color w:val="auto"/>
        </w:rPr>
      </w:pPr>
    </w:p>
    <w:p>
      <w:pPr>
        <w:ind w:left="4" w:right="1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Notices(a)</w:t>
      </w:r>
      <w:r>
        <w:rPr>
          <w:rFonts w:ascii="Times New Roman" w:cs="Times New Roman" w:eastAsia="Times New Roman" w:hAnsi="Times New Roman"/>
          <w:sz w:val="18"/>
          <w:szCs w:val="18"/>
          <w:color w:val="auto"/>
        </w:rPr>
        <w:t xml:space="preserve"> . Any notice to be given under the terms of this Agreement to the Company must be in writing and addressed to the Company in care of the Company’s Legal Department at the Company’s principal office or the Legal Department’s then-current email address. Any notice to be given under the terms of this Agreement to Participant must be in writing and addressed to Participant (or, if Participant is then deceased, to the Designated Beneficiary) at Participant’s last known mailing address or email address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or when delivered by a nationally recognized express shipping company.</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ectPr>
          <w:pgSz w:w="11900" w:h="16838" w:orient="portrait"/>
          <w:cols w:equalWidth="0" w:num="1">
            <w:col w:w="10964"/>
          </w:cols>
          <w:pgMar w:left="436" w:top="270" w:right="499" w:bottom="1440" w:gutter="0" w:footer="0" w:header="0"/>
        </w:sectPr>
      </w:pPr>
    </w:p>
    <w:bookmarkStart w:id="90" w:name="page91"/>
    <w:bookmarkEnd w:id="90"/>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76"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the Option without the prior written consent of Participant.</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If the Option is designated as an Incentive Stock Option:</w:t>
      </w:r>
    </w:p>
    <w:p>
      <w:pPr>
        <w:sectPr>
          <w:pgSz w:w="11900" w:h="16838" w:orient="portrait"/>
          <w:cols w:equalWidth="0" w:num="1">
            <w:col w:w="11000"/>
          </w:cols>
          <w:pgMar w:left="440" w:top="270" w:right="459" w:bottom="1440" w:gutter="0" w:footer="0" w:header="0"/>
        </w:sectPr>
      </w:pPr>
    </w:p>
    <w:bookmarkStart w:id="91" w:name="page92"/>
    <w:bookmarkEnd w:id="91"/>
    <w:p>
      <w:pPr>
        <w:ind w:left="-987" w:firstLine="987"/>
        <w:spacing w:after="0" w:line="254"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months after Participant’s Termination of Service, other than by reason of death or Disability, the Option will be taxed as a Non-Qualified Stock Option.</w:t>
      </w:r>
    </w:p>
    <w:p>
      <w:pPr>
        <w:spacing w:after="0" w:line="191" w:lineRule="exact"/>
        <w:rPr>
          <w:rFonts w:ascii="Times New Roman" w:cs="Times New Roman" w:eastAsia="Times New Roman" w:hAnsi="Times New Roman"/>
          <w:sz w:val="18"/>
          <w:szCs w:val="18"/>
          <w:color w:val="auto"/>
        </w:rPr>
      </w:pPr>
    </w:p>
    <w:p>
      <w:pPr>
        <w:ind w:left="-987" w:right="40" w:firstLine="987"/>
        <w:spacing w:after="0" w:line="261"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will give prompt written notice to the Company of any disposition or other transfer of any Shares acquired under this Agreement if such disposition or other transfer is made (i) within two years from the Grant Date or (ii) within one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75" w:lineRule="exact"/>
        <w:rPr>
          <w:rFonts w:ascii="Times New Roman" w:cs="Times New Roman" w:eastAsia="Times New Roman" w:hAnsi="Times New Roman"/>
          <w:sz w:val="18"/>
          <w:szCs w:val="18"/>
          <w:color w:val="auto"/>
        </w:rPr>
      </w:pPr>
    </w:p>
    <w:p>
      <w:pPr>
        <w:ind w:left="41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 * * *</w:t>
      </w:r>
    </w:p>
    <w:p>
      <w:pPr>
        <w:sectPr>
          <w:pgSz w:w="11900" w:h="16838" w:orient="portrait"/>
          <w:cols w:equalWidth="0" w:num="1">
            <w:col w:w="9933"/>
          </w:cols>
          <w:pgMar w:left="1427" w:top="270" w:right="5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10.10(b)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335280</wp:posOffset>
            </wp:positionV>
            <wp:extent cx="6998970" cy="4927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TEAMSHARES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INCENTIVE AWARD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Teamshares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Restricted Stock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described in this Restricted Stock Unit Grant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subject to the terms and conditions of the Teamshares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and the Restricted Stock Unit Agreement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both of which are incorporated into this Grant Notice by reference. Capitalized terms not specifically defined in this Grant Notice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have the meanings given to them in the Plan.</w:t>
      </w:r>
    </w:p>
    <w:p>
      <w:pPr>
        <w:sectPr>
          <w:pgSz w:w="11900" w:h="16838" w:orient="portrait"/>
          <w:cols w:equalWidth="0" w:num="1">
            <w:col w:w="11020"/>
          </w:cols>
          <w:pgMar w:left="440" w:top="117" w:right="4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5"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4"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5"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125"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specified]</w:t>
      </w:r>
    </w:p>
    <w:p>
      <w:pPr>
        <w:spacing w:after="0" w:line="200"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line="3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06"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b w:val="1"/>
          <w:bCs w:val="1"/>
          <w:color w:val="auto"/>
        </w:rPr>
        <w:t>TEAMSHARES INC.</w:t>
      </w:r>
      <w:r>
        <w:rPr>
          <w:sz w:val="20"/>
          <w:szCs w:val="20"/>
          <w:color w:val="auto"/>
        </w:rPr>
        <w:tab/>
      </w:r>
      <w:r>
        <w:rPr>
          <w:rFonts w:ascii="Times New Roman" w:cs="Times New Roman" w:eastAsia="Times New Roman" w:hAnsi="Times New Roman"/>
          <w:sz w:val="17"/>
          <w:szCs w:val="17"/>
          <w:b w:val="1"/>
          <w:bCs w:val="1"/>
          <w:color w:val="auto"/>
        </w:rPr>
        <w:t>PARTICIPANT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65836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16"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3351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Capitalized terms not specifically defined in this Restricted Stock Unit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have the meanings specified in the Grant Notice or, if not defined in the Grant Notice, in the Plan.</w:t>
      </w:r>
    </w:p>
    <w:p>
      <w:pPr>
        <w:spacing w:after="0" w:line="37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Award of RSUs</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and Dividend Equivalents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40" w:firstLine="987"/>
        <w:spacing w:after="0" w:line="268"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granted the RSUs to Participant effective as of the Grant Date set forth in the Grant Notice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Each RSU represents the right to receive one Share as set forth in this Agreement. Participant will have no right to the distribution of any Shares until the time (if ever) the RSUs have vested.</w:t>
      </w:r>
    </w:p>
    <w:p>
      <w:pPr>
        <w:spacing w:after="0" w:line="174"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Participant, with respect to each RSU granted hereunder,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 w:cs="Times New Roman" w:eastAsia="Times New Roman" w:hAnsi="Times New Roman"/>
          <w:sz w:val="18"/>
          <w:szCs w:val="18"/>
          <w:b w:val="1"/>
          <w:bCs w:val="1"/>
          <w:i w:val="1"/>
          <w:iCs w:val="1"/>
          <w:color w:val="auto"/>
        </w:rPr>
        <w:t>Dividend Equivalent Account</w:t>
      </w:r>
      <w:r>
        <w:rPr>
          <w:rFonts w:ascii="Times New Roman" w:cs="Times New Roman" w:eastAsia="Times New Roman" w:hAnsi="Times New Roman"/>
          <w:sz w:val="18"/>
          <w:szCs w:val="18"/>
          <w:color w:val="auto"/>
        </w:rPr>
        <w:t>”) for each Dividend Equivalent and credit the Dividend Equivalent Account (without interest) on the applicable dividend payment date with the amount of any such cash paid.</w:t>
      </w:r>
    </w:p>
    <w:p>
      <w:pPr>
        <w:spacing w:after="0" w:line="187"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RSUs and Dividend Equivalents are subject to the terms and conditions set forth in this Agreement and the Plan, which is incorporated herein by reference. In the event of any inconsistency between the Plan and this Agreement, the terms of the Plan will control.</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Unsecured Promise</w:t>
      </w:r>
      <w:r>
        <w:rPr>
          <w:rFonts w:ascii="Times New Roman" w:cs="Times New Roman" w:eastAsia="Times New Roman" w:hAnsi="Times New Roman"/>
          <w:sz w:val="18"/>
          <w:szCs w:val="18"/>
          <w:color w:val="auto"/>
        </w:rPr>
        <w:t>. The RSUs and Dividend Equivalents will at all times prior to settlement represent an unsecured Company obligation payable only from the Company’s general assets.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FORFEITURE AND SETTLEMENT</w:t>
      </w:r>
    </w:p>
    <w:p>
      <w:pPr>
        <w:spacing w:after="0" w:line="20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Vesting; Forfeiture</w:t>
      </w:r>
      <w:r>
        <w:rPr>
          <w:rFonts w:ascii="Times New Roman" w:cs="Times New Roman" w:eastAsia="Times New Roman" w:hAnsi="Times New Roman"/>
          <w:sz w:val="18"/>
          <w:szCs w:val="18"/>
          <w:color w:val="auto"/>
        </w:rPr>
        <w:t>. The RSUs will vest according to the vesting schedule in the Grant Notice except that any fraction of an RSU that would otherwise be vested will be accumulated and will vest only when a whole RSU has accumulated. Dividend Equivalents (including any Dividend Equivalent Account balance) will vest upon the vesting of the RSUs with respect to which the Dividend Equivalent (including the Dividend Equivalent Account) relates. In the event of Participant’s Termination of Service for any reason, (a) all unvested RSUs will immediately and automatically be cancelled and forfeited, except as otherwise determined by the Administrator or provided in a binding written agreement between Participant and the Company (after taking into consideration any accelerated vesting which may occur in connection with such Termination of Service pursuant to this Agreement, an applicable Company plan or any other written agreement between Participant and the Company) and (b) Dividend Equivalents (including any Dividend Equivalent Account balance) will be forfeited upon the forfeiture of the RSUs with respect to which the Dividend Equivalent (including the Dividend Equivalent Account) relates.</w:t>
      </w:r>
    </w:p>
    <w:p>
      <w:pPr>
        <w:sectPr>
          <w:pgSz w:w="11900" w:h="16838" w:orient="portrait"/>
          <w:cols w:equalWidth="0" w:num="1">
            <w:col w:w="11020"/>
          </w:cols>
          <w:pgMar w:left="440" w:top="266" w:right="439" w:bottom="1440" w:gutter="0" w:footer="0" w:header="0"/>
        </w:sectPr>
      </w:pPr>
    </w:p>
    <w:bookmarkStart w:id="94" w:name="page95"/>
    <w:bookmarkEnd w:id="9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6"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to the extent vested, be paid in Shares, and Dividend Equivalents (including any Dividend Equivalent Account balance) will be paid in cash or, if approved by the Administrator, Shares, as soon as administratively practicable after the vesting of the applicable RSU, but in no event later than March 15 of the year following the year in which the RSU’s vesting date occurs.</w:t>
      </w:r>
    </w:p>
    <w:p>
      <w:pPr>
        <w:spacing w:after="0" w:line="175"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 Any Dividend Equivalents granted in connection with the RSUs issued hereunder, and any amounts that may become distributable in respect thereof, shall be treated separately from such RSUs and the rights arising in connection therewith for purposes of the designation of time and form of payments required by Section 409A.</w:t>
      </w:r>
    </w:p>
    <w:p>
      <w:pPr>
        <w:spacing w:after="0" w:line="187"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 AND TAX WITHHOLDING</w:t>
      </w:r>
    </w:p>
    <w:p>
      <w:pPr>
        <w:spacing w:after="0" w:line="20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Participant represents to the Company that Participant has reviewed with Participant’s own tax advisors the tax consequences of this award of RSUs and Dividend Equivalents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and the transactions contemplated by the Grant Notice and this Agreement. Participant is relying solely on such advisors and not on any statements or representations of the Company or any of its agents.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82" w:lineRule="auto"/>
        <w:tabs>
          <w:tab w:leader="none" w:pos="123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3.2(b), payment of the withholding tax obligations with respect to the Award may be by any of the following, or a combination thereof, as determined by the Company (or, if Participant is subject to Section 16 of the Exchange Act, the Administrator):</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check;</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by delivery of Shares, including Shares delivered by attestation and Shares retained from the Award creating the tax obligation, valued at their Fair Market Value on the date of delivery;</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7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9.10 of the Plan,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 or</w:t>
      </w:r>
    </w:p>
    <w:p>
      <w:pPr>
        <w:sectPr>
          <w:pgSz w:w="11900" w:h="16838" w:orient="portrait"/>
          <w:cols w:equalWidth="0" w:num="1">
            <w:col w:w="11000"/>
          </w:cols>
          <w:pgMar w:left="440" w:top="270" w:right="459" w:bottom="1440" w:gutter="0" w:footer="0" w:header="0"/>
        </w:sectPr>
      </w:pPr>
    </w:p>
    <w:bookmarkStart w:id="95" w:name="page96"/>
    <w:bookmarkEnd w:id="95"/>
    <w:p>
      <w:pPr>
        <w:ind w:left="444" w:right="680" w:firstLine="419"/>
        <w:spacing w:after="0" w:line="282" w:lineRule="auto"/>
        <w:tabs>
          <w:tab w:leader="none" w:pos="117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whole or in part by the Company withholding of Shares otherwise vesting or issuable under this Award in satisfaction of any applicable withholding tax obligations.</w:t>
      </w:r>
    </w:p>
    <w:p>
      <w:pPr>
        <w:spacing w:after="0" w:line="161"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(or, if Participant is subject to Section 16 of the Exchange Act, the Administrator) otherwise determines, and subject to Section 9.10 of the Plan, payment of the withholding tax obligations with respect to the Award shall be (i) if Participant is not subject to Section 16 of the Exchange Act, by delivery (including electronically or telephonically to the extent permitted by the Company) of an irrevocable and unconditional undertaking by a broker acceptable to the Company to deliver promptly to the Company sufficient funds to satisfy the applicable tax withholding obligations or (ii) if Participant is subject to Section 16 of the Exchange Act, then by delivery (including electronically or telephonically to the extent permitted by the Company) by Participant to the Company of a copy of irrevocable and unconditional instructions to a broker acceptable to the Company that Participant has placed a market sell order with such broker with respect to Shares then-issuable upon settlement of the Award, and that the broker has been directed to deliver promptly to the Company funds sufficient to satisfy the applicable tax withholding obligations; provided, that payment of such proceeds is then made to the Company at such time as may be required by the Administrator.</w:t>
      </w:r>
    </w:p>
    <w:p>
      <w:pPr>
        <w:spacing w:after="0" w:line="188" w:lineRule="exact"/>
        <w:rPr>
          <w:rFonts w:ascii="Times New Roman" w:cs="Times New Roman" w:eastAsia="Times New Roman" w:hAnsi="Times New Roman"/>
          <w:sz w:val="18"/>
          <w:szCs w:val="18"/>
          <w:color w:val="auto"/>
        </w:rPr>
      </w:pPr>
    </w:p>
    <w:p>
      <w:pPr>
        <w:ind w:left="4" w:right="100" w:firstLine="987"/>
        <w:spacing w:after="0" w:line="276" w:lineRule="auto"/>
        <w:tabs>
          <w:tab w:leader="none" w:pos="1240"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9.5 of the Plan, the applicable tax withholding obligation will be determined based on Participant’s Applicable Withholding Rate. Participant’s “</w:t>
      </w:r>
      <w:r>
        <w:rPr>
          <w:rFonts w:ascii="Times New Roman" w:cs="Times New Roman" w:eastAsia="Times New Roman" w:hAnsi="Times New Roman"/>
          <w:sz w:val="17"/>
          <w:szCs w:val="17"/>
          <w:b w:val="1"/>
          <w:bCs w:val="1"/>
          <w:i w:val="1"/>
          <w:iCs w:val="1"/>
          <w:color w:val="auto"/>
        </w:rPr>
        <w:t>Applicable Withholding Rate</w:t>
      </w:r>
      <w:r>
        <w:rPr>
          <w:rFonts w:ascii="Times New Roman" w:cs="Times New Roman" w:eastAsia="Times New Roman" w:hAnsi="Times New Roman"/>
          <w:sz w:val="17"/>
          <w:szCs w:val="17"/>
          <w:color w:val="auto"/>
        </w:rPr>
        <w:t>” shall mean (i) if Participant is subject to Section 16 of the Exchange Act, the greater of</w:t>
      </w:r>
    </w:p>
    <w:p>
      <w:pPr>
        <w:ind w:left="4" w:right="40" w:hanging="4"/>
        <w:spacing w:after="0" w:line="251" w:lineRule="auto"/>
        <w:tabs>
          <w:tab w:leader="none" w:pos="29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provided, however, that (i) in no event shall Participant’s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 (ii) the number of Shares tendered or withheld, if applicable,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spacing w:after="0" w:line="193"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Participant is ultimately liable and responsible for all taxes owed in connection with the RSUs and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its Subsidiaries do not commit and are under no obligation to structure the RSUs or Dividend Equivalents to reduce or eliminate Participant’s tax liability.</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07"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Participant acknowledges that the RSUs and the Shares subject to the RSUs and the Dividend Equivalents are subject to adjustment, modification and termination in certain events as provided in this Agreement and the Plan.</w:t>
      </w:r>
    </w:p>
    <w:p>
      <w:pPr>
        <w:sectPr>
          <w:pgSz w:w="11900" w:h="16838" w:orient="portrait"/>
          <w:cols w:equalWidth="0" w:num="1">
            <w:col w:w="11004"/>
          </w:cols>
          <w:pgMar w:left="436" w:top="270" w:right="459" w:bottom="1440" w:gutter="0" w:footer="0" w:header="0"/>
        </w:sectPr>
      </w:pPr>
    </w:p>
    <w:bookmarkStart w:id="96" w:name="page97"/>
    <w:bookmarkEnd w:id="96"/>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The Award and the Shares issuable hereunder shall be subject to any clawback or recoupment policy in effect on the Grant Date or as may be adopted or maintained by the Company following the Grant Date, including the Company’s Policy for Recovery of Erroneously Awarded Compensation.</w:t>
      </w:r>
    </w:p>
    <w:p>
      <w:pPr>
        <w:spacing w:after="0" w:line="176"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must be in writing and addressed to the Company in care of the Company’s Legal Department at the Company’s principal office or the Legal Department’s then-current email address. Any notice to be given under the terms of this Agreement to Participant must be in writing and addressed to Participant (or, if Participant is then deceased, to the Designated Beneficiary) at Participant’s last known mailing address or email address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or when delivered by a nationally recognized express shipping company.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6" w:lineRule="exact"/>
        <w:rPr>
          <w:sz w:val="20"/>
          <w:szCs w:val="20"/>
          <w:color w:val="auto"/>
        </w:rPr>
      </w:pPr>
    </w:p>
    <w:p>
      <w:pPr>
        <w:jc w:val="both"/>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5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Participant is subject to Section 16 of the Exchange Act, the Plan, the Grant Notice, this Agreement and the RSUs and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the RSUs or Dividend Equivalents without the prior written consent of Participant.</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ectPr>
          <w:pgSz w:w="11900" w:h="16838" w:orient="portrait"/>
          <w:cols w:equalWidth="0" w:num="1">
            <w:col w:w="11000"/>
          </w:cols>
          <w:pgMar w:left="440" w:top="270" w:right="459" w:bottom="1440" w:gutter="0" w:footer="0" w:header="0"/>
        </w:sectPr>
      </w:pPr>
    </w:p>
    <w:bookmarkStart w:id="97" w:name="page98"/>
    <w:bookmarkEnd w:id="9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4.10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0"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ectPr>
          <w:pgSz w:w="11900" w:h="16838" w:orient="portrait"/>
          <w:cols w:equalWidth="0" w:num="1">
            <w:col w:w="11000"/>
          </w:cols>
          <w:pgMar w:left="440" w:top="270" w:right="45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TEAMSHARES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2026 EMPLOYEE STOCK PURCHASE PLAN</w:t>
      </w:r>
    </w:p>
    <w:p>
      <w:pPr>
        <w:spacing w:after="0" w:line="203"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3"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color w:val="auto"/>
        </w:rPr>
        <w:t>The purposes of this Teamshares Inc. 2026 Employee Stock Purchase Plan (as it may be amended or restated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are to assist Eligible Employees of Teamshares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its Designated Subsidiaries in acquiring a stock ownership interest in the Company pursuant to a plan which is intended to qualify as an “employee stock purchase plan” within the meaning of Section 423(b) of the Code, and to help Eligible Employees provide for their future security and to encourage them to remain in the employment of the Company and its Designated Subsidiaries.</w:t>
      </w:r>
    </w:p>
    <w:p>
      <w:pPr>
        <w:spacing w:after="0" w:line="1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07" w:lineRule="exact"/>
        <w:rPr>
          <w:sz w:val="20"/>
          <w:szCs w:val="20"/>
          <w:color w:val="auto"/>
        </w:rPr>
      </w:pPr>
    </w:p>
    <w:p>
      <w:pPr>
        <w:jc w:val="both"/>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spacing w:after="0" w:line="172"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mean the entity that conducts the general administration of the Plan as provided in Article XI. The term “Administrator” shall refer to the Committee unless the Board has assumed the authority for administration of the Plan as provided in Article XI.</w:t>
      </w:r>
    </w:p>
    <w:p>
      <w:pPr>
        <w:spacing w:after="0" w:line="155" w:lineRule="exact"/>
        <w:rPr>
          <w:sz w:val="20"/>
          <w:szCs w:val="20"/>
          <w:color w:val="auto"/>
        </w:rPr>
      </w:pPr>
    </w:p>
    <w:p>
      <w:pPr>
        <w:ind w:left="4" w:right="100" w:firstLine="440"/>
        <w:spacing w:after="0" w:line="291"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b w:val="1"/>
          <w:bCs w:val="1"/>
          <w:i w:val="1"/>
          <w:iCs w:val="1"/>
          <w:color w:val="auto"/>
        </w:rPr>
        <w:t>Applicable Law</w:t>
      </w:r>
      <w:r>
        <w:rPr>
          <w:rFonts w:ascii="Times New Roman" w:cs="Times New Roman" w:eastAsia="Times New Roman" w:hAnsi="Times New Roman"/>
          <w:sz w:val="17"/>
          <w:szCs w:val="17"/>
          <w:color w:val="auto"/>
        </w:rPr>
        <w:t>” shall mean any applicable law, including without limitation: (a) provisions of the Code, the Securities Act, the Exchange Act and any rules or regulations thereunder; (b) corporate, securities, tax or other laws, statutes, rules, requirements or regulations, whether U.S. or non-U.S. federal, state or local; and (c) rules of any securities exchange or automated quotation system on which the Shares are listed, quoted or traded.</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mean and include each of the following:</w:t>
      </w:r>
    </w:p>
    <w:p>
      <w:pPr>
        <w:spacing w:after="0" w:line="229" w:lineRule="exact"/>
        <w:rPr>
          <w:sz w:val="20"/>
          <w:szCs w:val="20"/>
          <w:color w:val="auto"/>
        </w:rPr>
      </w:pPr>
    </w:p>
    <w:p>
      <w:pPr>
        <w:ind w:left="4" w:firstLine="436"/>
        <w:spacing w:after="0" w:line="261" w:lineRule="auto"/>
        <w:tabs>
          <w:tab w:leader="none" w:pos="68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w:t>
      </w:r>
    </w:p>
    <w:p>
      <w:pPr>
        <w:ind w:left="4" w:right="240" w:hanging="4"/>
        <w:spacing w:after="0" w:line="253" w:lineRule="auto"/>
        <w:tabs>
          <w:tab w:leader="none" w:pos="24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ectPr>
          <w:pgSz w:w="11900" w:h="16838" w:orient="portrait"/>
          <w:cols w:equalWidth="0" w:num="1">
            <w:col w:w="11024"/>
          </w:cols>
          <w:pgMar w:left="436" w:top="117" w:right="439" w:bottom="1440" w:gutter="0" w:footer="0" w:header="0"/>
        </w:sectPr>
      </w:pPr>
    </w:p>
    <w:bookmarkStart w:id="99" w:name="page100"/>
    <w:bookmarkEnd w:id="99"/>
    <w:p>
      <w:pPr>
        <w:ind w:right="60" w:firstLine="436"/>
        <w:spacing w:after="0" w:line="258"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3" w:lineRule="exact"/>
        <w:rPr>
          <w:rFonts w:ascii="Times New Roman" w:cs="Times New Roman" w:eastAsia="Times New Roman" w:hAnsi="Times New Roman"/>
          <w:sz w:val="18"/>
          <w:szCs w:val="18"/>
          <w:color w:val="auto"/>
        </w:rPr>
      </w:pPr>
    </w:p>
    <w:p>
      <w:pPr>
        <w:ind w:right="160" w:firstLine="436"/>
        <w:spacing w:after="0" w:line="261"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58" w:lineRule="auto"/>
        <w:tabs>
          <w:tab w:leader="none" w:pos="107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75"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0"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portion of any right that provides for the deferral of compensation that is subject to Section 409A of the Code, to the extent required to avoid the imposition of additional taxes under Section 409A of the Code, the transaction or event described in subsection (a), (b) or (c) with respect to such right (or portion thereof) shall only constitute a Change in Control for purposes of the payment timing of such right (or portion thereof) if such transaction also constitutes a “change in control event,” as defined in Treasury Regulation Section 1.409A-3(i)(5).</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shall mean the Internal Revenue Code of 1986, as amended and the regulations issued thereunder.</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mean the common stock of the Company, par value of $0.0001 per share, and such other securities of the Company that may be substituted therefor pursuant to Article VIII.</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Teamshares Inc., a Delaware corporation, or any successor.</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00" w:name="page101"/>
    <w:bookmarkEnd w:id="100"/>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of an Eligible Employee shall mean, unless otherwise specified in the Offering Document, the gross cash compensation received by such Eligible Employee as compensation for services to the Company or any Designated Subsidiary, including prior week adjustment, and any salary or wages coded as “sick pay,” “holiday pay,” “vacation pay,” “jury duty pay” or “bereavement pay” in the Company’s payroll system, in each case, if applicable, but excluding periodic (e.g., annual or quarterly) bonuses, one-time bonuses (e.g., retention or sign on bonuses), commissions, overtime payments (including payments in lieu of meal breaks), military leave pay,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i w:val="1"/>
          <w:iCs w:val="1"/>
          <w:color w:val="auto"/>
        </w:rPr>
        <w:t>Designated Subsidiary</w:t>
      </w:r>
      <w:r>
        <w:rPr>
          <w:rFonts w:ascii="Times New Roman" w:cs="Times New Roman" w:eastAsia="Times New Roman" w:hAnsi="Times New Roman"/>
          <w:sz w:val="18"/>
          <w:szCs w:val="18"/>
          <w:color w:val="auto"/>
        </w:rPr>
        <w:t>” shall mean any Subsidiary designated by the Administrator in accordance with Section 11.2(b).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the date the Plan is approved by the Company’s stockholders.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firstLine="436"/>
        <w:spacing w:after="0" w:line="258" w:lineRule="auto"/>
        <w:tabs>
          <w:tab w:leader="none" w:pos="6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does not, immediately after any rights under this Plan are granted, own (directly or through attribution) stock possessing 5% or more of the total combined voting power or value of all classes of Common Stock and other stock of the Company, a Parent or a Subsidiary (as determined under Section 423(b)(3) of the Code). For purposes of the foregoing sentence,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spacing w:after="0" w:line="183"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Administrator may provide in an Offering Document that an Employee shall not be eligible to participate in an Offering Period if: (i) such Employee is a highly compensated employee within the meaning of Section 423(b)(4)(D) of the Code, (ii) such Employee has not met a service requirement designated by the Administrator pursuant to Section 423(b)(4)(A) of the Code (which service requirement may not exceed two years), (iii) such Employee’s customary employment is for 20 hours or less per week, (iv) such Employee’s customary employment is for less than five months in any calendar year and/or (v) such Employee is a citizen or resident of a foreign jurisdiction and the grant of a right to purchase Common Stock under the Plan to such Employee would be prohibited under the laws of such foreign jurisdiction or the grant of a right to purchase Common Stock under the Plan to such Employee in compliance with the laws of such foreign jurisdiction would cause the Plan to violate the requirements of Section 423 of the Code, as determined by the Administrator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exclusion in clauses (i), (ii), (iii), (iv) or (v) shall be applied in an identical manner under each Offering Period to all Employees, in accordance with Treasury Regulation Section 1.423-2(e).</w:t>
      </w:r>
    </w:p>
    <w:p>
      <w:pPr>
        <w:spacing w:after="0" w:line="190"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shall mean individual who renders services to the Company or any Designated Subsidiary as an employee within the meaning of Section 3401(c) of the Code. For purposes of the Plan, the employment relationship shall be treated as continuing intact while the individual is on sick leave or other leave of absence approved by the Company or Designated Subsidiary and meeting the requirements of Treasury Regulation</w:t>
      </w:r>
    </w:p>
    <w:p>
      <w:pPr>
        <w:ind w:right="120"/>
        <w:spacing w:after="0" w:line="260" w:lineRule="auto"/>
        <w:rPr>
          <w:sz w:val="20"/>
          <w:szCs w:val="20"/>
          <w:color w:val="auto"/>
        </w:rPr>
      </w:pPr>
      <w:r>
        <w:rPr>
          <w:rFonts w:ascii="Times New Roman" w:cs="Times New Roman" w:eastAsia="Times New Roman" w:hAnsi="Times New Roman"/>
          <w:sz w:val="18"/>
          <w:szCs w:val="18"/>
          <w:color w:val="auto"/>
        </w:rPr>
        <w:t>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2.13 “</w:t>
      </w:r>
      <w:r>
        <w:rPr>
          <w:rFonts w:ascii="Times New Roman" w:cs="Times New Roman" w:eastAsia="Times New Roman" w:hAnsi="Times New Roman"/>
          <w:sz w:val="18"/>
          <w:szCs w:val="18"/>
          <w:b w:val="1"/>
          <w:bCs w:val="1"/>
          <w:i w:val="1"/>
          <w:iCs w:val="1"/>
          <w:color w:val="auto"/>
        </w:rPr>
        <w:t>Enrollment Date</w:t>
      </w:r>
      <w:r>
        <w:rPr>
          <w:rFonts w:ascii="Times New Roman" w:cs="Times New Roman" w:eastAsia="Times New Roman" w:hAnsi="Times New Roman"/>
          <w:sz w:val="18"/>
          <w:szCs w:val="18"/>
          <w:color w:val="auto"/>
        </w:rPr>
        <w:t>” shall mean the first Trading Day of each Offering Period, unless otherwise specified in the Offering Document.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 from time to time.</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shall mean, as of any date, the value of a Share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another source the Administrator deems reliable; or (c) without an established market for the Common Stock, the Administrator will determine the Fair Market Value in its discretion.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shall have the meaning given to such term in Section 4.1.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i w:val="1"/>
          <w:iCs w:val="1"/>
          <w:color w:val="auto"/>
        </w:rPr>
        <w:t>Offering Period</w:t>
      </w:r>
      <w:r>
        <w:rPr>
          <w:rFonts w:ascii="Times New Roman" w:cs="Times New Roman" w:eastAsia="Times New Roman" w:hAnsi="Times New Roman"/>
          <w:sz w:val="18"/>
          <w:szCs w:val="18"/>
          <w:color w:val="auto"/>
        </w:rPr>
        <w:t>” shall have the meaning given to such term in Section 4.1.</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shall mean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71"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shall mean any Eligible Employee who has executed a subscription or enrollment agreement and been granted rights to purchase Common Stock pursuant to the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mean this Teamshares Inc. 2026 Employee Stock Purchase Plan, as it may be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shall mean the last Trading Day of each Purchase Period, unless otherwise specified in the Offering Document.</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xml:space="preserve">” shall refer to one or more periods within an Offering Period, as designated in the applicable Offering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event no Purchase Period is designated by the Administrator in the applicable Offering Document, the Purchase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each Offering Period covered by such Offering Document shall be the same as the applicable Offering Period.</w:t>
      </w:r>
    </w:p>
    <w:p>
      <w:pPr>
        <w:spacing w:after="0" w:line="17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xml:space="preserve">” shall mean the purchase price designated by the Administrator in the applicable Offering Document (which purchase price shall not be less than 85% of the Fair Market Value of a Share on the Enrollment Date or on the Purchase Date, whichever is lower);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Purchase Price may be adjusted by the Administrator pursuant to Article VIII and shall not be less than the par value of a Share.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02" w:name="page103"/>
    <w:bookmarkEnd w:id="10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2.24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shall mean a share of Common Stock.</w:t>
      </w:r>
    </w:p>
    <w:p>
      <w:pPr>
        <w:spacing w:after="0" w:line="22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xml:space="preserve">” 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limited liability company or partnership may be treated as a Subsidiary to the extent either (a) such entity is treated as a disregarded entity under Treasury Regulation</w:t>
      </w:r>
    </w:p>
    <w:p>
      <w:pPr>
        <w:spacing w:after="0" w:line="3" w:lineRule="exact"/>
        <w:rPr>
          <w:sz w:val="20"/>
          <w:szCs w:val="20"/>
          <w:color w:val="auto"/>
        </w:rPr>
      </w:pPr>
    </w:p>
    <w:p>
      <w:pPr>
        <w:ind w:left="4" w:right="320"/>
        <w:spacing w:after="0" w:line="290" w:lineRule="auto"/>
        <w:rPr>
          <w:sz w:val="20"/>
          <w:szCs w:val="20"/>
          <w:color w:val="auto"/>
        </w:rPr>
      </w:pPr>
      <w:r>
        <w:rPr>
          <w:rFonts w:ascii="Times New Roman" w:cs="Times New Roman" w:eastAsia="Times New Roman" w:hAnsi="Times New Roman"/>
          <w:sz w:val="17"/>
          <w:szCs w:val="17"/>
          <w:color w:val="auto"/>
        </w:rPr>
        <w:t>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 day on which national stock exchanges in the United States are open for trading.</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7" w:lineRule="exact"/>
        <w:rPr>
          <w:sz w:val="20"/>
          <w:szCs w:val="20"/>
          <w:color w:val="auto"/>
        </w:rPr>
      </w:pPr>
    </w:p>
    <w:p>
      <w:pPr>
        <w:ind w:left="4" w:firstLine="440"/>
        <w:spacing w:after="0" w:line="224"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Subject to Article VIII, the aggregate number of Shares that may be issued pursuant to rights granted under the Plan shall be [_____]</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Shares. In addition, subject to Article VIII, on the first day of each calendar year beginning on and including January 1, 2027 and ending on</w:t>
      </w:r>
    </w:p>
    <w:p>
      <w:pPr>
        <w:spacing w:after="0" w:line="1" w:lineRule="exact"/>
        <w:rPr>
          <w:sz w:val="20"/>
          <w:szCs w:val="20"/>
          <w:color w:val="auto"/>
        </w:rPr>
      </w:pPr>
    </w:p>
    <w:p>
      <w:pPr>
        <w:ind w:left="4" w:right="220"/>
        <w:spacing w:after="0" w:line="252" w:lineRule="auto"/>
        <w:rPr>
          <w:sz w:val="20"/>
          <w:szCs w:val="20"/>
          <w:color w:val="auto"/>
        </w:rPr>
      </w:pPr>
      <w:r>
        <w:rPr>
          <w:rFonts w:ascii="Times New Roman" w:cs="Times New Roman" w:eastAsia="Times New Roman" w:hAnsi="Times New Roman"/>
          <w:sz w:val="18"/>
          <w:szCs w:val="18"/>
          <w:color w:val="auto"/>
        </w:rPr>
        <w:t>and including January 1, 2036, the number of Shares available for issuance under the Plan shall be increased by that number of Shares equal to (a) a number of Shares equal to 1% of the aggregate number of Shares outstanding on the final day of the immediately preceding calendar year or (b) such smaller number of Shares as is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Plan shall not exceed an aggregate of 100,000,000 Shares, subject to Article VIII.</w:t>
      </w:r>
    </w:p>
    <w:p>
      <w:pPr>
        <w:spacing w:after="0" w:line="188"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Stock Distributed</w:t>
      </w:r>
      <w:r>
        <w:rPr>
          <w:rFonts w:ascii="Times New Roman" w:cs="Times New Roman" w:eastAsia="Times New Roman" w:hAnsi="Times New Roman"/>
          <w:sz w:val="18"/>
          <w:szCs w:val="18"/>
          <w:color w:val="auto"/>
        </w:rPr>
        <w:t>. Any Common Stock distributed pursuant to the Plan may consist, in whole or in part, of authorized and unissued Common Stock, treasury stock or Common Stock purchased on the open market.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OFFERING PERIODS; OFFERING DOCUMENTS; PURCHASE DATES</w:t>
      </w:r>
    </w:p>
    <w:p>
      <w:pPr>
        <w:spacing w:after="0" w:line="20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The Administrator may from time to time grant or provide for the grant of rights to purchase Shares under the Plan to Eligible Employees during one or more periods (each, an “</w:t>
      </w:r>
      <w:r>
        <w:rPr>
          <w:rFonts w:ascii="Times New Roman" w:cs="Times New Roman" w:eastAsia="Times New Roman" w:hAnsi="Times New Roman"/>
          <w:sz w:val="18"/>
          <w:szCs w:val="18"/>
          <w:b w:val="1"/>
          <w:bCs w:val="1"/>
          <w:i w:val="1"/>
          <w:iCs w:val="1"/>
          <w:color w:val="auto"/>
        </w:rPr>
        <w:t>Offering Period</w:t>
      </w:r>
      <w:r>
        <w:rPr>
          <w:rFonts w:ascii="Times New Roman" w:cs="Times New Roman" w:eastAsia="Times New Roman" w:hAnsi="Times New Roman"/>
          <w:sz w:val="18"/>
          <w:szCs w:val="18"/>
          <w:color w:val="auto"/>
        </w:rPr>
        <w:t>”) selected by the Administrator. The terms and conditions applicable to each Offering Period shall be set forth in an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adopted by the Administrator, which Offering Document shall be in such form and shall contain such terms and conditions as the Administrator shall deem appropriate.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 Periods under the Plan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ind w:left="5464" w:right="2160" w:hanging="5464"/>
        <w:spacing w:after="0" w:line="338" w:lineRule="auto"/>
        <w:tabs>
          <w:tab w:leader="none" w:pos="433" w:val="left"/>
        </w:tabs>
        <w:numPr>
          <w:ilvl w:val="0"/>
          <w:numId w:val="7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color w:val="auto"/>
        </w:rPr>
        <w:t>NTD</w:t>
      </w:r>
      <w:r>
        <w:rPr>
          <w:rFonts w:ascii="Times New Roman" w:cs="Times New Roman" w:eastAsia="Times New Roman" w:hAnsi="Times New Roman"/>
          <w:sz w:val="18"/>
          <w:szCs w:val="18"/>
          <w:color w:val="auto"/>
        </w:rPr>
        <w:t>: To equal 2% of the Shares outstanding as of immediately following the Closing of the 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66" w:right="499" w:bottom="1440" w:gutter="0" w:footer="0" w:header="0"/>
        </w:sectPr>
      </w:pPr>
    </w:p>
    <w:bookmarkStart w:id="103" w:name="page104"/>
    <w:bookmarkEnd w:id="10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Offering Documents</w:t>
      </w:r>
      <w:r>
        <w:rPr>
          <w:rFonts w:ascii="Times New Roman" w:cs="Times New Roman" w:eastAsia="Times New Roman" w:hAnsi="Times New Roman"/>
          <w:sz w:val="18"/>
          <w:szCs w:val="18"/>
          <w:color w:val="auto"/>
        </w:rPr>
        <w:t>. Each Offering Document with respect to an Offering Period shall specify (through incorporation of the provisions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by reference or otherwise):</w:t>
      </w:r>
    </w:p>
    <w:p>
      <w:pPr>
        <w:spacing w:after="0" w:line="207" w:lineRule="exact"/>
        <w:rPr>
          <w:sz w:val="20"/>
          <w:szCs w:val="20"/>
          <w:color w:val="auto"/>
        </w:rPr>
      </w:pPr>
    </w:p>
    <w:p>
      <w:pPr>
        <w:ind w:left="680" w:hanging="244"/>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Offering Period, which period shall not exceed 27 months;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Purchase Period(s) within the Offering Period;</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Offering Period that contains only one Purchase Period the maximum number of Shares that may be purchased by any Eligible Employee during such Offering Period, which, in the absence of a contrary designation by the Administrator, shall be 5,000 Shares;</w:t>
      </w:r>
    </w:p>
    <w:p>
      <w:pPr>
        <w:spacing w:after="0" w:line="161"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Offering Period that contains more than one Purchase Period, the maximum aggregate number of Shares which may be purchased by any Eligible Employee during each Purchase Period, which, in the absence of a contrary designation by the Administrator, shall be 5,000 Shares; and</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as the Administrator determines are appropriate, subject to the Plan.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07"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the limitations imposed by Section 423(b) of the Code.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Enrollment in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herein or in an Offering Document or determined by the Administrator, an Eligible Employee may become a Participant in the Plan for an Offering Period by delivering a subscription or enrollment agreement to the Company by such time prior to the Enrollment Date for such Offering Period (or such other date specified in the Offering Document) designated by the Administrator and in such form as the Company provides.</w:t>
      </w:r>
    </w:p>
    <w:p>
      <w:pPr>
        <w:spacing w:after="0" w:line="179"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the Administrator, each subscription or enrollment agreement shall designate a whole percentage of such Eligible Employee’s Compensation to be withheld by the Company or the Designated Subsidiary employing such Eligible Employee on each payday during the Offering Period as payroll deductions under the Plan. The designated percentage may not be less than 1% and may not be more than the maximum percentage specified by the Administrator in the applicable Offering Document (which percentage shall be 20% in the absence of any such designation). The payroll deductions made for each Participant shall be credited to an account for such Participant under the Plan and shall be deposited with the general funds of the Company.</w:t>
      </w:r>
    </w:p>
    <w:p>
      <w:pPr>
        <w:spacing w:after="0" w:line="187" w:lineRule="exact"/>
        <w:rPr>
          <w:rFonts w:ascii="Times New Roman" w:cs="Times New Roman" w:eastAsia="Times New Roman" w:hAnsi="Times New Roman"/>
          <w:sz w:val="18"/>
          <w:szCs w:val="18"/>
          <w:color w:val="auto"/>
        </w:rPr>
      </w:pPr>
    </w:p>
    <w:p>
      <w:pPr>
        <w:ind w:right="160" w:firstLine="436"/>
        <w:spacing w:after="0" w:line="256"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be allowed to decrease or increase the percentage of Compensation designated in his or her subscription or enrollment agreement, or may suspend his or her payroll deductions, at any time during an Offering Period (any such decrease, increase or suspension, a “</w:t>
      </w:r>
      <w:r>
        <w:rPr>
          <w:rFonts w:ascii="Times New Roman" w:cs="Times New Roman" w:eastAsia="Times New Roman" w:hAnsi="Times New Roman"/>
          <w:sz w:val="18"/>
          <w:szCs w:val="18"/>
          <w:b w:val="1"/>
          <w:bCs w:val="1"/>
          <w:i w:val="1"/>
          <w:iCs w:val="1"/>
          <w:color w:val="auto"/>
        </w:rPr>
        <w:t>Contribution Change</w:t>
      </w:r>
      <w:r>
        <w:rPr>
          <w:rFonts w:ascii="Times New Roman" w:cs="Times New Roman" w:eastAsia="Times New Roman" w:hAnsi="Times New Roman"/>
          <w:sz w:val="18"/>
          <w:szCs w:val="18"/>
          <w:color w:val="auto"/>
        </w:rPr>
        <w:t>”) subject to any limits as set forth in the applicable Offering Document (and in the absence of any specific designation by the Administrator, a Participant shall not be allowed any Contribution Changes during an Offering Period with respect to such Offering Period). Any such Contribution Change shall be effective with the first full payroll period following 10 business days after the Company’s receipt of the new subscription or enrollment agreement (or such shorter or longer period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04" w:name="page105"/>
    <w:bookmarkEnd w:id="104"/>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180" w:lineRule="exact"/>
        <w:rPr>
          <w:sz w:val="20"/>
          <w:szCs w:val="20"/>
          <w:color w:val="auto"/>
        </w:rPr>
      </w:pPr>
    </w:p>
    <w:p>
      <w:pPr>
        <w:ind w:right="180" w:firstLine="436"/>
        <w:spacing w:after="0" w:line="282"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Section 5.8 or in an Offering Document or determined by the Administrator, a Participant may participate in the Plan only by means of payroll deduction and may not make contributions by lump sum payment for any Offering Period.</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Payroll Deductions</w:t>
      </w:r>
      <w:r>
        <w:rPr>
          <w:rFonts w:ascii="Times New Roman" w:cs="Times New Roman" w:eastAsia="Times New Roman" w:hAnsi="Times New Roman"/>
          <w:sz w:val="18"/>
          <w:szCs w:val="18"/>
          <w:color w:val="auto"/>
        </w:rPr>
        <w:t>. Except as otherwise provided in the applicable Offering Document, Section 5.8 or as determined by the Administrator,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w:t>
      </w:r>
    </w:p>
    <w:p>
      <w:pPr>
        <w:spacing w:after="0" w:line="18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Effect of Enrollment</w:t>
      </w:r>
      <w:r>
        <w:rPr>
          <w:rFonts w:ascii="Times New Roman" w:cs="Times New Roman" w:eastAsia="Times New Roman" w:hAnsi="Times New Roman"/>
          <w:sz w:val="18"/>
          <w:szCs w:val="18"/>
          <w:color w:val="auto"/>
        </w:rPr>
        <w:t>. A Participant’s completion of a subscription or enrollment agreement will enroll such Participant in the Plan for each subsequent Offering Period on the terms contained therein until the Participant either submits a new subscription or enrollment agreement, withdraws from participation under the Plan as provided in Article VII or otherwise becomes ineligible to participate in the Plan.</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Limitation on Purchase of Common Stock</w:t>
      </w:r>
      <w:r>
        <w:rPr>
          <w:rFonts w:ascii="Times New Roman" w:cs="Times New Roman" w:eastAsia="Times New Roman" w:hAnsi="Times New Roman"/>
          <w:sz w:val="18"/>
          <w:szCs w:val="18"/>
          <w:color w:val="auto"/>
        </w:rPr>
        <w:t>. An Eligible Employee may be granted rights under the Plan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Suspension of Payroll Deductions</w:t>
      </w:r>
      <w:r>
        <w:rPr>
          <w:rFonts w:ascii="Times New Roman" w:cs="Times New Roman" w:eastAsia="Times New Roman" w:hAnsi="Times New Roman"/>
          <w:sz w:val="18"/>
          <w:szCs w:val="18"/>
          <w:color w:val="auto"/>
        </w:rPr>
        <w:t>. Notwithstanding the foregoing, to the extent necessary to comply with Section 423(b)(8) of the Code and Section 5.5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Foreign Employees</w:t>
      </w:r>
      <w:r>
        <w:rPr>
          <w:rFonts w:ascii="Times New Roman" w:cs="Times New Roman" w:eastAsia="Times New Roman" w:hAnsi="Times New Roman"/>
          <w:sz w:val="18"/>
          <w:szCs w:val="18"/>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such special terms may not be more favorable than the terms of rights granted under the Plan to Eligible Employees who are residents of the United States. Moreover, the Administrator may approve such supplements to, or amendments, restatements or alternative versions of, this Plan as it may consider necessary or appropriate for such purposes without thereby affecting the terms of this Plan as in effect for any other purpose. No such special terms, supplements, amendments or restatements shall include any provisions that are inconsistent with the terms of this Plan as then in effect unless this Plan could have been amended to eliminate such</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105" w:name="page106"/>
    <w:bookmarkEnd w:id="105"/>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inconsistency without further approval by the stockholders of the Company.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During leaves of absence approved by the Company meeting the requirements of Treasury Regulation</w:t>
      </w:r>
    </w:p>
    <w:p>
      <w:pPr>
        <w:spacing w:after="0" w:line="27" w:lineRule="exact"/>
        <w:rPr>
          <w:sz w:val="20"/>
          <w:szCs w:val="20"/>
          <w:color w:val="auto"/>
        </w:rPr>
      </w:pPr>
    </w:p>
    <w:p>
      <w:pPr>
        <w:ind w:left="4" w:right="460"/>
        <w:spacing w:after="0" w:line="260" w:lineRule="auto"/>
        <w:rPr>
          <w:sz w:val="20"/>
          <w:szCs w:val="20"/>
          <w:color w:val="auto"/>
        </w:rPr>
      </w:pPr>
      <w:r>
        <w:rPr>
          <w:rFonts w:ascii="Times New Roman" w:cs="Times New Roman" w:eastAsia="Times New Roman" w:hAnsi="Times New Roman"/>
          <w:sz w:val="18"/>
          <w:szCs w:val="18"/>
          <w:color w:val="auto"/>
        </w:rPr>
        <w:t>Section 1.421-1(h)(2) under the Code, a Participant may continue participation in the Plan by making cash payments to the Company on his or her normal payday equal to his or her authorized payroll deduction.</w:t>
      </w:r>
    </w:p>
    <w:p>
      <w:pPr>
        <w:spacing w:after="0" w:line="17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GRANT AND EXERCISE OF RIGHTS</w:t>
      </w:r>
    </w:p>
    <w:p>
      <w:pPr>
        <w:spacing w:after="0" w:line="207" w:lineRule="exact"/>
        <w:rPr>
          <w:sz w:val="20"/>
          <w:szCs w:val="20"/>
          <w:color w:val="auto"/>
        </w:rPr>
      </w:pPr>
    </w:p>
    <w:p>
      <w:pPr>
        <w:ind w:left="4" w:right="2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Grant of Rights</w:t>
      </w:r>
      <w:r>
        <w:rPr>
          <w:rFonts w:ascii="Times New Roman" w:cs="Times New Roman" w:eastAsia="Times New Roman" w:hAnsi="Times New Roman"/>
          <w:sz w:val="17"/>
          <w:szCs w:val="17"/>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spacing w:after="0" w:line="2" w:lineRule="exact"/>
        <w:rPr>
          <w:sz w:val="20"/>
          <w:szCs w:val="20"/>
          <w:color w:val="auto"/>
        </w:rPr>
      </w:pPr>
    </w:p>
    <w:p>
      <w:pPr>
        <w:ind w:left="244" w:hanging="244"/>
        <w:spacing w:after="0"/>
        <w:tabs>
          <w:tab w:leader="none" w:pos="2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Participant’s payroll deductions accumulated prior to such Purchase Date and retained in the Participant’s account as of the Purchase Date, by</w:t>
      </w:r>
    </w:p>
    <w:p>
      <w:pPr>
        <w:spacing w:after="0" w:line="9" w:lineRule="exact"/>
        <w:rPr>
          <w:rFonts w:ascii="Times New Roman" w:cs="Times New Roman" w:eastAsia="Times New Roman" w:hAnsi="Times New Roman"/>
          <w:sz w:val="18"/>
          <w:szCs w:val="18"/>
          <w:color w:val="auto"/>
        </w:rPr>
      </w:pPr>
    </w:p>
    <w:p>
      <w:pPr>
        <w:ind w:left="4" w:right="20" w:hanging="4"/>
        <w:spacing w:after="0" w:line="290" w:lineRule="auto"/>
        <w:tabs>
          <w:tab w:leader="none" w:pos="25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Purchase Price (rounded down to the nearest Share). The right shall expire on the earliest of: (x) the last Purchase Date of such Offering Period, (y) last day of such Offering Period and (z) the date on which such Participant withdraws in accordance with Section 7.1 or Section 7.3.</w:t>
      </w:r>
    </w:p>
    <w:p>
      <w:pPr>
        <w:spacing w:after="0" w:line="15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Exercise of Rights</w:t>
      </w:r>
      <w:r>
        <w:rPr>
          <w:rFonts w:ascii="Times New Roman" w:cs="Times New Roman" w:eastAsia="Times New Roman" w:hAnsi="Times New Roman"/>
          <w:sz w:val="18"/>
          <w:szCs w:val="18"/>
          <w:color w:val="auto"/>
        </w:rPr>
        <w:t xml:space="preserve">.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remaining after the purchase of Shares upon exercise of a purchase right (including any cash in lieu of fractional Shares) shall be returned to the Participant in one lump sum payment in a subsequent payroll check;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Administrator may provide in the applicable Offering Document that cash in lieu of fractional Shares should be carried forward and applied toward the purchase of whole Shares for the following Offering Period. Shares issued pursuant to the Plan may be evidenced in such manner as the Administrator may determine and may be issued in certificated form or issued pursuant to book-entry procedures.</w:t>
      </w:r>
    </w:p>
    <w:p>
      <w:pPr>
        <w:spacing w:after="0" w:line="188"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Pro Rata Allocation of Shares</w:t>
      </w:r>
      <w:r>
        <w:rPr>
          <w:rFonts w:ascii="Times New Roman" w:cs="Times New Roman" w:eastAsia="Times New Roman" w:hAnsi="Times New Roman"/>
          <w:sz w:val="17"/>
          <w:szCs w:val="17"/>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5" w:lineRule="exact"/>
        <w:rPr>
          <w:sz w:val="20"/>
          <w:szCs w:val="20"/>
          <w:color w:val="auto"/>
        </w:rPr>
      </w:pPr>
    </w:p>
    <w:p>
      <w:pPr>
        <w:ind w:left="4" w:right="40" w:hanging="4"/>
        <w:spacing w:after="0" w:line="253" w:lineRule="auto"/>
        <w:tabs>
          <w:tab w:leader="none" w:pos="26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06" w:name="page107"/>
    <w:bookmarkEnd w:id="10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Conditions to Issuance of Common Stock</w:t>
      </w:r>
      <w:r>
        <w:rPr>
          <w:rFonts w:ascii="Times New Roman" w:cs="Times New Roman" w:eastAsia="Times New Roman" w:hAnsi="Times New Roman"/>
          <w:sz w:val="18"/>
          <w:szCs w:val="18"/>
          <w:color w:val="auto"/>
        </w:rPr>
        <w:t>. The Company shall not be required to issue or deliver any certificate or certificates for, or make any book entries evidencing, Shares purchased upon the exercise of rights under the Plan prior to fulfillment of all of the following conditions:</w:t>
      </w:r>
    </w:p>
    <w:p>
      <w:pPr>
        <w:spacing w:after="0" w:line="162" w:lineRule="exact"/>
        <w:rPr>
          <w:sz w:val="20"/>
          <w:szCs w:val="20"/>
          <w:color w:val="auto"/>
        </w:rPr>
      </w:pPr>
    </w:p>
    <w:p>
      <w:pPr>
        <w:ind w:left="680" w:hanging="244"/>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of such Shares to listing on all stock exchanges, if any, on which the Common Stock is then listed;</w:t>
      </w:r>
    </w:p>
    <w:p>
      <w:pPr>
        <w:spacing w:after="0" w:line="225"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w:t>
      </w:r>
    </w:p>
    <w:p>
      <w:pPr>
        <w:spacing w:after="0" w:line="175" w:lineRule="exact"/>
        <w:rPr>
          <w:rFonts w:ascii="Times New Roman" w:cs="Times New Roman" w:eastAsia="Times New Roman" w:hAnsi="Times New Roman"/>
          <w:sz w:val="18"/>
          <w:szCs w:val="18"/>
          <w:color w:val="auto"/>
        </w:rPr>
      </w:pPr>
    </w:p>
    <w:p>
      <w:pPr>
        <w:ind w:right="300" w:firstLine="436"/>
        <w:spacing w:after="0" w:line="282"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approval or other clearance from any state or federal governmental agency that the Administrator shall, in its absolute discretion, determine to be necessary or advisable;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the Company of all amounts that it is required to withhold under federal, state or local law upon exercise of the rights, if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right="520" w:firstLine="436"/>
        <w:spacing w:after="0" w:line="282"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of such reasonable period of time following the exercise of the rights as the Administrator may from time to time establish for reasons of administrative convenience.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CESSATION OF ELIGIBILITY</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two weeks prior to the end of the Offering Period or, if earlier, the end of the Purchase Period (or such shorter or longer period as may be specified by the Administrator in the Offering Document). All of the Participant’s payroll deductions credited to his or her account during the Offering Period not yet used to exercise his or her rights under the Plan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or enrollment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07" w:name="page108"/>
    <w:bookmarkEnd w:id="107"/>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Future Participation</w:t>
      </w:r>
      <w:r>
        <w:rPr>
          <w:rFonts w:ascii="Times New Roman" w:cs="Times New Roman" w:eastAsia="Times New Roman" w:hAnsi="Times New Roman"/>
          <w:sz w:val="18"/>
          <w:szCs w:val="18"/>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176"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Cessation of Eligibility</w:t>
      </w:r>
      <w:r>
        <w:rPr>
          <w:rFonts w:ascii="Times New Roman" w:cs="Times New Roman" w:eastAsia="Times New Roman" w:hAnsi="Times New Roman"/>
          <w:sz w:val="18"/>
          <w:szCs w:val="18"/>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ADJUSTMENTS UPON CHANGES IN STOCK</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Subject to Section 8.3, in the event that the Administrator determines that any dividend or other distribution (whether in the form of cash, Common Stock, other securities, or other property), Change in Control, reorganization, merger, amalgamation, consolidation, combination, repurchase, recapitalization, liquidation, dissolution, or sale, transfer, exchange or other disposition of all or substantially all of the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192"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Other Adjustments</w:t>
      </w:r>
      <w:r>
        <w:rPr>
          <w:rFonts w:ascii="Times New Roman" w:cs="Times New Roman" w:eastAsia="Times New Roman" w:hAnsi="Times New Roman"/>
          <w:sz w:val="18"/>
          <w:szCs w:val="18"/>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189" w:lineRule="exact"/>
        <w:rPr>
          <w:sz w:val="20"/>
          <w:szCs w:val="20"/>
          <w:color w:val="auto"/>
        </w:rPr>
      </w:pPr>
    </w:p>
    <w:p>
      <w:pPr>
        <w:ind w:firstLine="436"/>
        <w:spacing w:after="0" w:line="266" w:lineRule="auto"/>
        <w:tabs>
          <w:tab w:leader="none" w:pos="6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75"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08" w:name="page109"/>
    <w:bookmarkEnd w:id="108"/>
    <w:p>
      <w:pPr>
        <w:ind w:left="4" w:right="240" w:firstLine="436"/>
        <w:spacing w:after="0" w:line="282" w:lineRule="auto"/>
        <w:tabs>
          <w:tab w:leader="none" w:pos="68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make adjustments in the number and type of Shares (or other securities or property) subject to outstanding rights under the Plan and/or in the terms and conditions of outstanding rights and rights that may be granted in the future;</w:t>
      </w:r>
    </w:p>
    <w:p>
      <w:pPr>
        <w:spacing w:after="0" w:line="161" w:lineRule="exact"/>
        <w:rPr>
          <w:rFonts w:ascii="Times New Roman" w:cs="Times New Roman" w:eastAsia="Times New Roman" w:hAnsi="Times New Roman"/>
          <w:sz w:val="18"/>
          <w:szCs w:val="18"/>
          <w:color w:val="auto"/>
        </w:rPr>
      </w:pPr>
    </w:p>
    <w:p>
      <w:pPr>
        <w:ind w:left="4" w:right="340" w:firstLine="436"/>
        <w:spacing w:after="0" w:line="266" w:lineRule="auto"/>
        <w:tabs>
          <w:tab w:leader="none" w:pos="69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Participants’ accumulated payroll deductions may be used to purchase Common Stock prior to the next occurring Purchase Date on such date as the Administrator determines in its sole discretion and the Participants’ rights under the ongoing Offering Period(s) shall be terminated; and</w:t>
      </w:r>
    </w:p>
    <w:p>
      <w:pPr>
        <w:spacing w:after="0" w:line="1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all outstanding rights shall terminate without being exercised.</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Adjustment Under Certain Circumstances</w:t>
      </w:r>
      <w:r>
        <w:rPr>
          <w:rFonts w:ascii="Times New Roman" w:cs="Times New Roman" w:eastAsia="Times New Roman" w:hAnsi="Times New Roman"/>
          <w:sz w:val="18"/>
          <w:szCs w:val="18"/>
          <w:color w:val="auto"/>
        </w:rPr>
        <w:t>. No adjustment or action described in this Article VIII or in any other provision of the Plan shall be authorized to the extent that such adjustment or action would cause the Plan to fail to satisfy the requirements of Section 423 of the Code.</w:t>
      </w:r>
    </w:p>
    <w:p>
      <w:pPr>
        <w:spacing w:after="0" w:line="162"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1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xml:space="preserve">. The Administrator may amend, suspend or terminate the Plan at any time and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(b) change the Plan in any manner that would be considered the adoption of a new plan within the meaning of Treasury regulation Section 1.423-2(c)(4); or</w:t>
      </w:r>
    </w:p>
    <w:p>
      <w:pPr>
        <w:spacing w:after="0" w:line="3" w:lineRule="exact"/>
        <w:rPr>
          <w:sz w:val="20"/>
          <w:szCs w:val="20"/>
          <w:color w:val="auto"/>
        </w:rPr>
      </w:pPr>
    </w:p>
    <w:p>
      <w:pPr>
        <w:ind w:left="4" w:right="40" w:hanging="4"/>
        <w:spacing w:after="0" w:line="260" w:lineRule="auto"/>
        <w:tabs>
          <w:tab w:leader="none" w:pos="2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Plan in any manner that would cause the Plan to no longer be an “employee stock purchase plan” within the meaning of Section 423(b) of the Code.</w:t>
      </w:r>
    </w:p>
    <w:p>
      <w:pPr>
        <w:spacing w:after="0" w:line="181"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Certain Changes to Plan</w:t>
      </w:r>
      <w:r>
        <w:rPr>
          <w:rFonts w:ascii="Times New Roman" w:cs="Times New Roman" w:eastAsia="Times New Roman" w:hAnsi="Times New Roman"/>
          <w:sz w:val="18"/>
          <w:szCs w:val="18"/>
          <w:color w:val="auto"/>
        </w:rPr>
        <w:t>. Without stockholder consent and without regard to whether any Participant rights may be considered to have been adversely affected,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109" w:name="page110"/>
    <w:bookmarkEnd w:id="109"/>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 </w:t>
      </w:r>
      <w:r>
        <w:rPr>
          <w:rFonts w:ascii="Times New Roman" w:cs="Times New Roman" w:eastAsia="Times New Roman" w:hAnsi="Times New Roman"/>
          <w:sz w:val="18"/>
          <w:szCs w:val="18"/>
          <w:u w:val="single" w:color="auto"/>
          <w:color w:val="auto"/>
        </w:rPr>
        <w:t>Actions In the Event of Unfavorable Financial Accounting Consequences</w:t>
      </w:r>
      <w:r>
        <w:rPr>
          <w:rFonts w:ascii="Times New Roman" w:cs="Times New Roman" w:eastAsia="Times New Roman" w:hAnsi="Times New Roman"/>
          <w:sz w:val="18"/>
          <w:szCs w:val="18"/>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176" w:lineRule="exact"/>
        <w:rPr>
          <w:sz w:val="20"/>
          <w:szCs w:val="20"/>
          <w:color w:val="auto"/>
        </w:rPr>
      </w:pPr>
    </w:p>
    <w:p>
      <w:pPr>
        <w:ind w:left="680" w:hanging="244"/>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Offering Period including an Offering Period underway at the time of the change in Purchase Price;</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so that the Offering Period ends on a new Purchase Date, including an Offering Period underway at the time of the Administrator action; and</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modifications or amendments shall not require stockholder approval or the consent of any Participant.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Payments Upon Termination of Plan</w:t>
      </w:r>
      <w:r>
        <w:rPr>
          <w:rFonts w:ascii="Times New Roman" w:cs="Times New Roman" w:eastAsia="Times New Roman" w:hAnsi="Times New Roman"/>
          <w:sz w:val="18"/>
          <w:szCs w:val="18"/>
          <w:color w:val="auto"/>
        </w:rPr>
        <w:t>. Upon termination of the Plan, the balance in each Participant’s Plan account shall be refunded as soon as practicable after such termination, without any interest thereon.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OF PLAN</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Plan shall be effective on the Effective Date. The effectiveness of the Plan shall be subject to approval of the Plan by the stockholders of the Company within 12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The Board may at any time vest in the Board any authority or duties for administration of the Plan.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Authority of Administrator</w:t>
      </w:r>
      <w:r>
        <w:rPr>
          <w:rFonts w:ascii="Times New Roman" w:cs="Times New Roman" w:eastAsia="Times New Roman" w:hAnsi="Times New Roman"/>
          <w:sz w:val="18"/>
          <w:szCs w:val="18"/>
          <w:color w:val="auto"/>
        </w:rPr>
        <w:t>. The Administrator shall have the power, subject to, and within the limitations of, the express provisions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right="240" w:firstLine="436"/>
        <w:spacing w:after="0" w:line="282"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and how rights to purchase Shares shall be granted and the provisions of each offering of such rights (which need not be identical).</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from time to time which Subsidiaries of the Company shall be Designated Subsidiaries, which designation may be made without the approval of the stockholders of the Company.</w:t>
      </w:r>
    </w:p>
    <w:p>
      <w:pPr>
        <w:spacing w:after="0" w:line="161" w:lineRule="exact"/>
        <w:rPr>
          <w:rFonts w:ascii="Times New Roman" w:cs="Times New Roman" w:eastAsia="Times New Roman" w:hAnsi="Times New Roman"/>
          <w:sz w:val="18"/>
          <w:szCs w:val="18"/>
          <w:color w:val="auto"/>
        </w:rPr>
      </w:pPr>
    </w:p>
    <w:p>
      <w:pPr>
        <w:ind w:right="180" w:firstLine="436"/>
        <w:spacing w:after="0" w:line="266"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suspend or terminate the Plan as provided in Article IX.</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10" w:name="page111"/>
    <w:bookmarkEnd w:id="110"/>
    <w:p>
      <w:pPr>
        <w:ind w:right="40" w:firstLine="436"/>
        <w:spacing w:after="0" w:line="266" w:lineRule="auto"/>
        <w:tabs>
          <w:tab w:leader="none" w:pos="6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spacing w:after="0" w:line="176"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11.3 </w:t>
      </w:r>
      <w:r>
        <w:rPr>
          <w:rFonts w:ascii="Times New Roman" w:cs="Times New Roman" w:eastAsia="Times New Roman" w:hAnsi="Times New Roman"/>
          <w:sz w:val="17"/>
          <w:szCs w:val="17"/>
          <w:u w:val="single" w:color="auto"/>
          <w:color w:val="auto"/>
        </w:rPr>
        <w:t>Decisions Binding</w:t>
      </w:r>
      <w:r>
        <w:rPr>
          <w:rFonts w:ascii="Times New Roman" w:cs="Times New Roman" w:eastAsia="Times New Roman" w:hAnsi="Times New Roman"/>
          <w:sz w:val="17"/>
          <w:szCs w:val="17"/>
          <w:color w:val="auto"/>
        </w:rPr>
        <w:t>. The Administrator’s interpretation of the Plan, any rights granted pursuant to the Plan, any subscription or enrollment agreement and all decisions and determinations by the Administrator with respect to the Plan are final, binding, and conclusive on all parties.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Restriction upon Assignment</w:t>
      </w:r>
      <w:r>
        <w:rPr>
          <w:rFonts w:ascii="Times New Roman" w:cs="Times New Roman" w:eastAsia="Times New Roman" w:hAnsi="Times New Roman"/>
          <w:sz w:val="18"/>
          <w:szCs w:val="18"/>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 interest shall accrue on the payroll deductions or contributions of a Participant under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6"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187"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11" w:name="page112"/>
    <w:bookmarkEnd w:id="111"/>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Subject to Section 5.7, all Eligible Employees will have equal rights and privileges under this Plan so that this Plan qualifies as an “employee stock purchase plan” within the meaning of Section 423 of the Code. Subject to Section 5.7, any provision of this Plan that is inconsistent with Section 423 of the Code will, without further act or amendment by the Company, the Board or the Administrator, be reformed to comply with the equal rights and privileges requirement of Section 423 of the Code.</w:t>
      </w:r>
    </w:p>
    <w:p>
      <w:pPr>
        <w:spacing w:after="0" w:line="180"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Use of Funds</w:t>
      </w:r>
      <w:r>
        <w:rPr>
          <w:rFonts w:ascii="Times New Roman" w:cs="Times New Roman" w:eastAsia="Times New Roman" w:hAnsi="Times New Roman"/>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If required by Applicable Law, statements of account shall be given to Participants at least annually, which statements shall set forth the amounts of payroll deductions, the Purchase Price, the number of Shares purchased and the remaining cash balance, if any.</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color w:val="auto"/>
        </w:rPr>
        <w:t>. Nothing in the Plan shall be construed to give any person (including any Eligible Employee or Participant) the right to employment or service with (or to remain in the employ of) the Company or any Parent or Subsidiary thereof or affect the right of the Company or any Parent or Subsidiary thereof to terminate the employment of any person (including any Eligible Employee or Participant) at any time, with or without cause.</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Notice of Disposition of Shares</w:t>
      </w:r>
      <w:r>
        <w:rPr>
          <w:rFonts w:ascii="Times New Roman" w:cs="Times New Roman" w:eastAsia="Times New Roman" w:hAnsi="Times New Roman"/>
          <w:sz w:val="18"/>
          <w:szCs w:val="18"/>
          <w:color w:val="auto"/>
        </w:rPr>
        <w:t>. Each Participant shall give prompt notice to the Company of any disposition or other transfer of any Shares purchased upon exercise of a right under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any agreements hereunder shall be administered, interpreted and enforced under the internal laws of the State of Delaware without regard to conflicts of laws thereof or of any other jurisdiction.</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Electronic Forms</w:t>
      </w:r>
      <w:r>
        <w:rPr>
          <w:rFonts w:ascii="Times New Roman" w:cs="Times New Roman" w:eastAsia="Times New Roman" w:hAnsi="Times New Roman"/>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TEAMSHARES,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through June 21, 2024)</w:t>
      </w:r>
    </w:p>
    <w:p>
      <w:pPr>
        <w:spacing w:after="0" w:line="229" w:lineRule="exact"/>
        <w:rPr>
          <w:sz w:val="20"/>
          <w:szCs w:val="20"/>
          <w:color w:val="auto"/>
        </w:rPr>
      </w:pPr>
    </w:p>
    <w:p>
      <w:pPr>
        <w:ind w:left="620" w:hanging="184"/>
        <w:spacing w:after="0"/>
        <w:tabs>
          <w:tab w:leader="none" w:pos="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and Restricted Stock Units.</w:t>
      </w:r>
    </w:p>
    <w:p>
      <w:pPr>
        <w:spacing w:after="0" w:line="54" w:lineRule="exact"/>
        <w:rPr>
          <w:sz w:val="20"/>
          <w:szCs w:val="20"/>
          <w:color w:val="auto"/>
        </w:rPr>
      </w:pPr>
    </w:p>
    <w:p>
      <w:pPr>
        <w:ind w:left="620" w:hanging="184"/>
        <w:spacing w:after="0"/>
        <w:tabs>
          <w:tab w:leader="none" w:pos="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 Plan.</w:t>
      </w:r>
    </w:p>
    <w:p>
      <w:pPr>
        <w:spacing w:after="0" w:line="117" w:lineRule="exact"/>
        <w:rPr>
          <w:rFonts w:ascii="Times New Roman" w:cs="Times New Roman" w:eastAsia="Times New Roman" w:hAnsi="Times New Roman"/>
          <w:sz w:val="18"/>
          <w:szCs w:val="18"/>
          <w:color w:val="auto"/>
        </w:rPr>
      </w:pPr>
    </w:p>
    <w:p>
      <w:pPr>
        <w:jc w:val="both"/>
        <w:ind w:right="240" w:firstLine="987"/>
        <w:spacing w:after="0" w:line="289" w:lineRule="auto"/>
        <w:tabs>
          <w:tab w:leader="none" w:pos="1246"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Laws</w:t>
      </w:r>
      <w:r>
        <w:rPr>
          <w:rFonts w:ascii="Times New Roman" w:cs="Times New Roman" w:eastAsia="Times New Roman" w:hAnsi="Times New Roman"/>
          <w:sz w:val="17"/>
          <w:szCs w:val="17"/>
          <w:color w:val="auto"/>
        </w:rPr>
        <w:t>” means the legal and regulatory requirements relating to the administration of equity-based awards, including but not limited to,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49" w:lineRule="exact"/>
        <w:rPr>
          <w:rFonts w:ascii="Times New Roman" w:cs="Times New Roman" w:eastAsia="Times New Roman" w:hAnsi="Times New Roman"/>
          <w:sz w:val="17"/>
          <w:szCs w:val="17"/>
          <w:color w:val="auto"/>
        </w:rPr>
      </w:pPr>
    </w:p>
    <w:p>
      <w:pPr>
        <w:ind w:right="640" w:firstLine="987"/>
        <w:spacing w:after="0" w:line="282" w:lineRule="auto"/>
        <w:tabs>
          <w:tab w:leader="none" w:pos="12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or Restricted Stock Units.</w:t>
      </w:r>
    </w:p>
    <w:p>
      <w:pPr>
        <w:spacing w:after="0" w:line="53"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1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117" w:lineRule="exact"/>
        <w:rPr>
          <w:rFonts w:ascii="Times New Roman" w:cs="Times New Roman" w:eastAsia="Times New Roman" w:hAnsi="Times New Roman"/>
          <w:sz w:val="18"/>
          <w:szCs w:val="18"/>
          <w:color w:val="auto"/>
        </w:rPr>
      </w:pPr>
    </w:p>
    <w:p>
      <w:pPr>
        <w:jc w:val="both"/>
        <w:ind w:right="40" w:firstLine="1428"/>
        <w:spacing w:after="0" w:line="261" w:lineRule="auto"/>
        <w:tabs>
          <w:tab w:leader="none" w:pos="1647"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w:t>
      </w:r>
    </w:p>
    <w:p>
      <w:pPr>
        <w:sectPr>
          <w:pgSz w:w="11900" w:h="16838" w:orient="portrait"/>
          <w:cols w:equalWidth="0" w:num="1">
            <w:col w:w="11020"/>
          </w:cols>
          <w:pgMar w:left="440" w:top="117" w:right="439" w:bottom="1440" w:gutter="0" w:footer="0" w:header="0"/>
        </w:sectPr>
      </w:pPr>
    </w:p>
    <w:bookmarkStart w:id="113" w:name="page114"/>
    <w:bookmarkEnd w:id="113"/>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84" w:lineRule="exact"/>
        <w:rPr>
          <w:sz w:val="20"/>
          <w:szCs w:val="20"/>
          <w:color w:val="auto"/>
        </w:rPr>
      </w:pPr>
    </w:p>
    <w:p>
      <w:pPr>
        <w:jc w:val="both"/>
        <w:ind w:left="4" w:right="20" w:firstLine="1428"/>
        <w:spacing w:after="0" w:line="258" w:lineRule="auto"/>
        <w:tabs>
          <w:tab w:leader="none" w:pos="170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75" w:lineRule="exact"/>
        <w:rPr>
          <w:rFonts w:ascii="Times New Roman" w:cs="Times New Roman" w:eastAsia="Times New Roman" w:hAnsi="Times New Roman"/>
          <w:sz w:val="18"/>
          <w:szCs w:val="18"/>
          <w:color w:val="auto"/>
        </w:rPr>
      </w:pPr>
    </w:p>
    <w:p>
      <w:pPr>
        <w:ind w:left="4" w:right="80" w:firstLine="1428"/>
        <w:spacing w:after="0" w:line="269" w:lineRule="auto"/>
        <w:tabs>
          <w:tab w:leader="none" w:pos="1751"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Ownership of a Substantial Portion of the Company’s Assets</w:t>
      </w:r>
      <w:r>
        <w:rPr>
          <w:rFonts w:ascii="Times New Roman" w:cs="Times New Roman" w:eastAsia="Times New Roman" w:hAnsi="Times New Roman"/>
          <w:sz w:val="17"/>
          <w:szCs w:val="17"/>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an entity that is controlled by the Company’s stockholders immediately after the transfer, or (B) a transfer of assets by the Company to:</w:t>
      </w:r>
    </w:p>
    <w:p>
      <w:pPr>
        <w:spacing w:after="0" w:line="9" w:lineRule="exact"/>
        <w:rPr>
          <w:rFonts w:ascii="Times New Roman" w:cs="Times New Roman" w:eastAsia="Times New Roman" w:hAnsi="Times New Roman"/>
          <w:sz w:val="18"/>
          <w:szCs w:val="18"/>
          <w:color w:val="auto"/>
        </w:rPr>
      </w:pPr>
    </w:p>
    <w:p>
      <w:pPr>
        <w:ind w:left="4"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0" w:lineRule="exact"/>
        <w:rPr>
          <w:sz w:val="20"/>
          <w:szCs w:val="20"/>
          <w:color w:val="auto"/>
        </w:rPr>
      </w:pPr>
    </w:p>
    <w:p>
      <w:pPr>
        <w:ind w:left="4" w:right="220" w:firstLine="1432"/>
        <w:spacing w:after="0" w:line="282" w:lineRule="auto"/>
        <w:rPr>
          <w:sz w:val="20"/>
          <w:szCs w:val="20"/>
          <w:color w:val="auto"/>
        </w:rPr>
      </w:pPr>
      <w:r>
        <w:rPr>
          <w:rFonts w:ascii="Times New Roman" w:cs="Times New Roman" w:eastAsia="Times New Roman" w:hAnsi="Times New Roman"/>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114" w:name="page115"/>
    <w:bookmarkEnd w:id="114"/>
    <w:p>
      <w:pPr>
        <w:ind w:right="100" w:firstLine="1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right="180" w:firstLine="1432"/>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68" w:lineRule="exact"/>
        <w:rPr>
          <w:sz w:val="20"/>
          <w:szCs w:val="20"/>
          <w:color w:val="auto"/>
        </w:rPr>
      </w:pPr>
    </w:p>
    <w:p>
      <w:pPr>
        <w:ind w:right="80" w:firstLine="987"/>
        <w:spacing w:after="0" w:line="266"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67"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hereof.</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Voting Common Stock of the Company.</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Teamshares, Inc., a Delaware corporation, or any successor thereto.</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rFonts w:ascii="Times New Roman" w:cs="Times New Roman" w:eastAsia="Times New Roman" w:hAnsi="Times New Roman"/>
          <w:sz w:val="18"/>
          <w:szCs w:val="18"/>
          <w:color w:val="auto"/>
        </w:rPr>
      </w:pPr>
    </w:p>
    <w:p>
      <w:pPr>
        <w:ind w:right="120" w:firstLine="987"/>
        <w:spacing w:after="0" w:line="266" w:lineRule="auto"/>
        <w:tabs>
          <w:tab w:leader="none" w:pos="129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67" w:lineRule="exact"/>
        <w:rPr>
          <w:rFonts w:ascii="Times New Roman" w:cs="Times New Roman" w:eastAsia="Times New Roman" w:hAnsi="Times New Roman"/>
          <w:sz w:val="18"/>
          <w:szCs w:val="18"/>
          <w:color w:val="auto"/>
        </w:rPr>
      </w:pPr>
    </w:p>
    <w:p>
      <w:pPr>
        <w:ind w:right="80" w:firstLine="987"/>
        <w:spacing w:after="0" w:line="312" w:lineRule="auto"/>
        <w:tabs>
          <w:tab w:leader="none" w:pos="124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31"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15" w:name="page116"/>
    <w:bookmarkEnd w:id="115"/>
    <w:p>
      <w:pPr>
        <w:jc w:val="both"/>
        <w:ind w:right="60" w:firstLine="987"/>
        <w:spacing w:after="0" w:line="258"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117" w:lineRule="exact"/>
        <w:rPr>
          <w:rFonts w:ascii="Times New Roman" w:cs="Times New Roman" w:eastAsia="Times New Roman" w:hAnsi="Times New Roman"/>
          <w:sz w:val="18"/>
          <w:szCs w:val="18"/>
          <w:color w:val="auto"/>
        </w:rPr>
      </w:pPr>
    </w:p>
    <w:p>
      <w:pPr>
        <w:ind w:right="180" w:firstLine="1428"/>
        <w:spacing w:after="0" w:line="261" w:lineRule="auto"/>
        <w:tabs>
          <w:tab w:leader="none" w:pos="164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71" w:lineRule="exact"/>
        <w:rPr>
          <w:rFonts w:ascii="Times New Roman" w:cs="Times New Roman" w:eastAsia="Times New Roman" w:hAnsi="Times New Roman"/>
          <w:sz w:val="18"/>
          <w:szCs w:val="18"/>
          <w:color w:val="auto"/>
        </w:rPr>
      </w:pPr>
    </w:p>
    <w:p>
      <w:pPr>
        <w:ind w:right="80" w:firstLine="1428"/>
        <w:spacing w:after="0" w:line="261" w:lineRule="auto"/>
        <w:tabs>
          <w:tab w:leader="none" w:pos="169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7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98" w:lineRule="exact"/>
        <w:rPr>
          <w:rFonts w:ascii="Times New Roman" w:cs="Times New Roman" w:eastAsia="Times New Roman" w:hAnsi="Times New Roman"/>
          <w:sz w:val="18"/>
          <w:szCs w:val="18"/>
          <w:color w:val="auto"/>
        </w:rPr>
      </w:pPr>
    </w:p>
    <w:p>
      <w:pPr>
        <w:ind w:right="160" w:firstLine="987"/>
        <w:spacing w:after="0" w:line="282" w:lineRule="auto"/>
        <w:tabs>
          <w:tab w:leader="none" w:pos="12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 and the regulations promulgated thereunder.</w:t>
      </w:r>
    </w:p>
    <w:p>
      <w:pPr>
        <w:spacing w:after="0" w:line="5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w:t>
      </w:r>
    </w:p>
    <w:p>
      <w:pPr>
        <w:spacing w:after="0" w:line="98"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117" w:lineRule="exact"/>
        <w:rPr>
          <w:rFonts w:ascii="Times New Roman" w:cs="Times New Roman" w:eastAsia="Times New Roman" w:hAnsi="Times New Roman"/>
          <w:sz w:val="18"/>
          <w:szCs w:val="18"/>
          <w:color w:val="auto"/>
        </w:rPr>
      </w:pPr>
    </w:p>
    <w:p>
      <w:pPr>
        <w:ind w:firstLine="987"/>
        <w:spacing w:after="0" w:line="266" w:lineRule="auto"/>
        <w:tabs>
          <w:tab w:leader="none" w:pos="128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2020 Equity Incentive Plan.</w:t>
      </w:r>
    </w:p>
    <w:p>
      <w:pPr>
        <w:spacing w:after="0" w:line="117"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6" w:name="page117"/>
    <w:bookmarkEnd w:id="116"/>
    <w:p>
      <w:pPr>
        <w:ind w:left="-40" w:right="440" w:firstLine="987"/>
        <w:spacing w:after="0" w:line="282" w:lineRule="auto"/>
        <w:tabs>
          <w:tab w:leader="none" w:pos="11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54" w:lineRule="exact"/>
        <w:rPr>
          <w:sz w:val="20"/>
          <w:szCs w:val="20"/>
          <w:color w:val="auto"/>
        </w:rPr>
      </w:pPr>
    </w:p>
    <w:p>
      <w:pPr>
        <w:ind w:left="1280" w:hanging="333"/>
        <w:spacing w:after="0"/>
        <w:tabs>
          <w:tab w:leader="none" w:pos="12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rFonts w:ascii="Times New Roman" w:cs="Times New Roman" w:eastAsia="Times New Roman" w:hAnsi="Times New Roman"/>
          <w:sz w:val="18"/>
          <w:szCs w:val="18"/>
          <w:color w:val="auto"/>
        </w:rPr>
      </w:pPr>
    </w:p>
    <w:p>
      <w:pPr>
        <w:ind w:left="1300" w:hanging="353"/>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117" w:lineRule="exact"/>
        <w:rPr>
          <w:rFonts w:ascii="Times New Roman" w:cs="Times New Roman" w:eastAsia="Times New Roman" w:hAnsi="Times New Roman"/>
          <w:sz w:val="18"/>
          <w:szCs w:val="18"/>
          <w:color w:val="auto"/>
        </w:rPr>
      </w:pPr>
    </w:p>
    <w:p>
      <w:pPr>
        <w:ind w:left="1280" w:hanging="333"/>
        <w:spacing w:after="0"/>
        <w:tabs>
          <w:tab w:leader="none" w:pos="12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13 of the Plan.</w:t>
      </w:r>
    </w:p>
    <w:p>
      <w:pPr>
        <w:spacing w:after="0" w:line="117" w:lineRule="exact"/>
        <w:rPr>
          <w:rFonts w:ascii="Times New Roman" w:cs="Times New Roman" w:eastAsia="Times New Roman" w:hAnsi="Times New Roman"/>
          <w:sz w:val="18"/>
          <w:szCs w:val="18"/>
          <w:color w:val="auto"/>
        </w:rPr>
      </w:pPr>
    </w:p>
    <w:p>
      <w:pPr>
        <w:ind w:left="-40" w:right="80" w:firstLine="987"/>
        <w:spacing w:after="0" w:line="282" w:lineRule="auto"/>
        <w:tabs>
          <w:tab w:leader="none" w:pos="12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53" w:lineRule="exact"/>
        <w:rPr>
          <w:rFonts w:ascii="Times New Roman" w:cs="Times New Roman" w:eastAsia="Times New Roman" w:hAnsi="Times New Roman"/>
          <w:sz w:val="18"/>
          <w:szCs w:val="18"/>
          <w:color w:val="auto"/>
        </w:rPr>
      </w:pPr>
    </w:p>
    <w:p>
      <w:pPr>
        <w:ind w:left="1280" w:hanging="333"/>
        <w:spacing w:after="0"/>
        <w:tabs>
          <w:tab w:leader="none" w:pos="12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117"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 w:right="180" w:firstLine="987"/>
        <w:spacing w:after="0" w:line="282" w:lineRule="auto"/>
        <w:tabs>
          <w:tab w:leader="none" w:pos="119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13 of the Plan, the maximum aggregate number of Shares that may be subject to Awards and sold under the Plan is 1,643,244 Shares. The Shares may be authorized but unissued, or reacquired Common Stock.</w:t>
      </w:r>
    </w:p>
    <w:p>
      <w:pPr>
        <w:spacing w:after="0" w:line="53" w:lineRule="exact"/>
        <w:rPr>
          <w:rFonts w:ascii="Times New Roman" w:cs="Times New Roman" w:eastAsia="Times New Roman" w:hAnsi="Times New Roman"/>
          <w:sz w:val="18"/>
          <w:szCs w:val="18"/>
          <w:color w:val="auto"/>
        </w:rPr>
      </w:pPr>
    </w:p>
    <w:p>
      <w:pPr>
        <w:ind w:left="-40" w:firstLine="987"/>
        <w:spacing w:after="0" w:line="252" w:lineRule="auto"/>
        <w:tabs>
          <w:tab w:leader="none" w:pos="120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is surrendered pursuant to an 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70" w:right="499" w:bottom="1440" w:gutter="0" w:footer="0" w:header="0"/>
        </w:sectPr>
      </w:pPr>
    </w:p>
    <w:bookmarkStart w:id="117" w:name="page118"/>
    <w:bookmarkEnd w:id="117"/>
    <w:p>
      <w:pPr>
        <w:ind w:firstLine="987"/>
        <w:spacing w:after="0" w:line="282" w:lineRule="auto"/>
        <w:tabs>
          <w:tab w:leader="none" w:pos="123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8"/>
          <w:szCs w:val="18"/>
          <w:color w:val="auto"/>
        </w:rPr>
      </w:pPr>
    </w:p>
    <w:p>
      <w:pPr>
        <w:ind w:right="120" w:firstLine="1428"/>
        <w:spacing w:after="0" w:line="282" w:lineRule="auto"/>
        <w:tabs>
          <w:tab w:leader="none" w:pos="1697"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53"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53"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11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11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11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117" w:lineRule="exact"/>
        <w:rPr>
          <w:rFonts w:ascii="Times New Roman" w:cs="Times New Roman" w:eastAsia="Times New Roman" w:hAnsi="Times New Roman"/>
          <w:sz w:val="18"/>
          <w:szCs w:val="18"/>
          <w:color w:val="auto"/>
        </w:rPr>
      </w:pPr>
    </w:p>
    <w:p>
      <w:pPr>
        <w:ind w:right="20" w:firstLine="1428"/>
        <w:spacing w:after="0" w:line="261" w:lineRule="auto"/>
        <w:tabs>
          <w:tab w:leader="none" w:pos="1687"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7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w:t>
      </w:r>
    </w:p>
    <w:p>
      <w:pPr>
        <w:spacing w:after="0" w:line="117"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117" w:lineRule="exact"/>
        <w:rPr>
          <w:rFonts w:ascii="Times New Roman" w:cs="Times New Roman" w:eastAsia="Times New Roman" w:hAnsi="Times New Roman"/>
          <w:sz w:val="18"/>
          <w:szCs w:val="18"/>
          <w:color w:val="auto"/>
        </w:rPr>
      </w:pPr>
    </w:p>
    <w:p>
      <w:pPr>
        <w:ind w:right="100" w:firstLine="1428"/>
        <w:spacing w:after="0" w:line="282" w:lineRule="auto"/>
        <w:tabs>
          <w:tab w:leader="none" w:pos="1837"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53" w:lineRule="exact"/>
        <w:rPr>
          <w:rFonts w:ascii="Times New Roman" w:cs="Times New Roman" w:eastAsia="Times New Roman" w:hAnsi="Times New Roman"/>
          <w:sz w:val="18"/>
          <w:szCs w:val="18"/>
          <w:color w:val="auto"/>
        </w:rPr>
      </w:pPr>
    </w:p>
    <w:p>
      <w:pPr>
        <w:jc w:val="both"/>
        <w:ind w:right="60" w:firstLine="1428"/>
        <w:spacing w:after="0" w:line="266" w:lineRule="auto"/>
        <w:tabs>
          <w:tab w:leader="none" w:pos="1737"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18(c) of the Plan), including but not limited to the discretionary authority to extend the post-termination exercisability period of Awards; provided, however, that in no case will an Option or Stock Appreciation Right be extended beyond its original maximum term;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8" w:name="page119"/>
    <w:bookmarkEnd w:id="118"/>
    <w:p>
      <w:pPr>
        <w:ind w:left="1680" w:hanging="252"/>
        <w:spacing w:after="0"/>
        <w:tabs>
          <w:tab w:leader="none" w:pos="168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allow Participants to satisfy withholding tax obligations in a manner prescribed in Section 14;</w:t>
      </w:r>
    </w:p>
    <w:p>
      <w:pPr>
        <w:spacing w:after="0" w:line="117" w:lineRule="exact"/>
        <w:rPr>
          <w:rFonts w:ascii="Times New Roman" w:cs="Times New Roman" w:eastAsia="Times New Roman" w:hAnsi="Times New Roman"/>
          <w:sz w:val="18"/>
          <w:szCs w:val="18"/>
          <w:color w:val="auto"/>
        </w:rPr>
      </w:pPr>
    </w:p>
    <w:p>
      <w:pPr>
        <w:ind w:right="80" w:firstLine="1428"/>
        <w:spacing w:after="0" w:line="282" w:lineRule="auto"/>
        <w:tabs>
          <w:tab w:leader="none" w:pos="1737"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53" w:lineRule="exact"/>
        <w:rPr>
          <w:rFonts w:ascii="Times New Roman" w:cs="Times New Roman" w:eastAsia="Times New Roman" w:hAnsi="Times New Roman"/>
          <w:sz w:val="18"/>
          <w:szCs w:val="18"/>
          <w:color w:val="auto"/>
        </w:rPr>
      </w:pPr>
    </w:p>
    <w:p>
      <w:pPr>
        <w:ind w:right="180" w:firstLine="1428"/>
        <w:spacing w:after="0" w:line="282" w:lineRule="auto"/>
        <w:tabs>
          <w:tab w:leader="none" w:pos="1787"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53" w:lineRule="exact"/>
        <w:rPr>
          <w:rFonts w:ascii="Times New Roman" w:cs="Times New Roman" w:eastAsia="Times New Roman" w:hAnsi="Times New Roman"/>
          <w:sz w:val="18"/>
          <w:szCs w:val="18"/>
          <w:color w:val="auto"/>
        </w:rPr>
      </w:pPr>
    </w:p>
    <w:p>
      <w:pPr>
        <w:ind w:left="1840" w:hanging="412"/>
        <w:spacing w:after="0"/>
        <w:tabs>
          <w:tab w:leader="none" w:pos="184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117"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53"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and Restricted Stock Units may be granted to Service Providers. Incentive Stock Options may be granted only to Employees.</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40" w:firstLine="987"/>
        <w:spacing w:after="0" w:line="282" w:lineRule="auto"/>
        <w:tabs>
          <w:tab w:leader="none" w:pos="123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in such amounts as the Administrator, in its sole discretion, will determine.</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67" w:lineRule="exact"/>
        <w:rPr>
          <w:rFonts w:ascii="Times New Roman" w:cs="Times New Roman" w:eastAsia="Times New Roman" w:hAnsi="Times New Roman"/>
          <w:sz w:val="18"/>
          <w:szCs w:val="18"/>
          <w:color w:val="auto"/>
        </w:rPr>
      </w:pPr>
    </w:p>
    <w:p>
      <w:pPr>
        <w:ind w:right="80" w:firstLine="987"/>
        <w:spacing w:after="0" w:line="255" w:lineRule="auto"/>
        <w:tabs>
          <w:tab w:leader="none" w:pos="123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19" w:name="page120"/>
    <w:bookmarkEnd w:id="119"/>
    <w:p>
      <w:pPr>
        <w:ind w:firstLine="987"/>
        <w:spacing w:after="0" w:line="258"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1428"/>
        <w:spacing w:after="0" w:line="255" w:lineRule="auto"/>
        <w:tabs>
          <w:tab w:leader="none" w:pos="164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pacing w:after="0" w:line="80" w:lineRule="exact"/>
        <w:rPr>
          <w:rFonts w:ascii="Times New Roman" w:cs="Times New Roman" w:eastAsia="Times New Roman" w:hAnsi="Times New Roman"/>
          <w:sz w:val="18"/>
          <w:szCs w:val="18"/>
          <w:color w:val="auto"/>
        </w:rPr>
      </w:pPr>
    </w:p>
    <w:p>
      <w:pPr>
        <w:ind w:right="440" w:firstLine="1428"/>
        <w:spacing w:after="0" w:line="282" w:lineRule="auto"/>
        <w:tabs>
          <w:tab w:leader="none" w:pos="169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53" w:lineRule="exact"/>
        <w:rPr>
          <w:rFonts w:ascii="Times New Roman" w:cs="Times New Roman" w:eastAsia="Times New Roman" w:hAnsi="Times New Roman"/>
          <w:sz w:val="18"/>
          <w:szCs w:val="18"/>
          <w:color w:val="auto"/>
        </w:rPr>
      </w:pPr>
    </w:p>
    <w:p>
      <w:pPr>
        <w:ind w:right="20" w:firstLine="1428"/>
        <w:spacing w:after="0" w:line="253" w:lineRule="auto"/>
        <w:tabs>
          <w:tab w:leader="none" w:pos="174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86"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20" w:firstLine="1428"/>
        <w:spacing w:after="0" w:line="266" w:lineRule="auto"/>
        <w:tabs>
          <w:tab w:leader="none" w:pos="164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0" w:name="page121"/>
    <w:bookmarkEnd w:id="120"/>
    <w:p>
      <w:pPr>
        <w:ind w:firstLine="198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8" w:lineRule="exact"/>
        <w:rPr>
          <w:sz w:val="20"/>
          <w:szCs w:val="20"/>
          <w:color w:val="auto"/>
        </w:rPr>
      </w:pPr>
    </w:p>
    <w:p>
      <w:pPr>
        <w:ind w:right="220" w:firstLine="1983"/>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54" w:lineRule="exact"/>
        <w:rPr>
          <w:sz w:val="20"/>
          <w:szCs w:val="20"/>
          <w:color w:val="auto"/>
        </w:rPr>
      </w:pPr>
    </w:p>
    <w:p>
      <w:pPr>
        <w:ind w:firstLine="1428"/>
        <w:spacing w:after="0" w:line="255" w:lineRule="auto"/>
        <w:tabs>
          <w:tab w:leader="none" w:pos="169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(but in no event later than the expiration of the term of such Option as set forth in the Award 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80" w:lineRule="exact"/>
        <w:rPr>
          <w:rFonts w:ascii="Times New Roman" w:cs="Times New Roman" w:eastAsia="Times New Roman" w:hAnsi="Times New Roman"/>
          <w:sz w:val="18"/>
          <w:szCs w:val="18"/>
          <w:color w:val="auto"/>
        </w:rPr>
      </w:pPr>
    </w:p>
    <w:p>
      <w:pPr>
        <w:ind w:right="20" w:firstLine="1428"/>
        <w:spacing w:after="0" w:line="256" w:lineRule="auto"/>
        <w:tabs>
          <w:tab w:leader="none" w:pos="174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79" w:lineRule="exact"/>
        <w:rPr>
          <w:rFonts w:ascii="Times New Roman" w:cs="Times New Roman" w:eastAsia="Times New Roman" w:hAnsi="Times New Roman"/>
          <w:sz w:val="18"/>
          <w:szCs w:val="18"/>
          <w:color w:val="auto"/>
        </w:rPr>
      </w:pPr>
    </w:p>
    <w:p>
      <w:pPr>
        <w:ind w:right="20" w:firstLine="1428"/>
        <w:spacing w:after="0" w:line="254" w:lineRule="auto"/>
        <w:tabs>
          <w:tab w:leader="none" w:pos="173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21" w:name="page122"/>
    <w:bookmarkEnd w:id="121"/>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Option is not so exercised within the time specified herein, the Option will terminate, and the Shares covered by such Option will revert to the Plan.</w:t>
      </w:r>
    </w:p>
    <w:p>
      <w:pPr>
        <w:spacing w:after="0" w:line="54" w:lineRule="exact"/>
        <w:rPr>
          <w:sz w:val="20"/>
          <w:szCs w:val="20"/>
          <w:color w:val="auto"/>
        </w:rPr>
      </w:pPr>
    </w:p>
    <w:p>
      <w:pPr>
        <w:ind w:left="620" w:hanging="184"/>
        <w:spacing w:after="0"/>
        <w:tabs>
          <w:tab w:leader="none" w:pos="6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60" w:firstLine="987"/>
        <w:spacing w:after="0" w:line="282" w:lineRule="auto"/>
        <w:tabs>
          <w:tab w:leader="none" w:pos="123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53"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53"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7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67"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3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67" w:lineRule="exact"/>
        <w:rPr>
          <w:rFonts w:ascii="Times New Roman" w:cs="Times New Roman" w:eastAsia="Times New Roman" w:hAnsi="Times New Roman"/>
          <w:sz w:val="18"/>
          <w:szCs w:val="18"/>
          <w:color w:val="auto"/>
        </w:rPr>
      </w:pPr>
    </w:p>
    <w:p>
      <w:pPr>
        <w:ind w:right="260" w:firstLine="987"/>
        <w:spacing w:after="0" w:line="282" w:lineRule="auto"/>
        <w:tabs>
          <w:tab w:leader="none" w:pos="121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53"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11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11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54" w:lineRule="exact"/>
        <w:rPr>
          <w:sz w:val="20"/>
          <w:szCs w:val="20"/>
          <w:color w:val="auto"/>
        </w:rPr>
      </w:pPr>
    </w:p>
    <w:p>
      <w:pPr>
        <w:ind w:left="620" w:hanging="184"/>
        <w:spacing w:after="0"/>
        <w:tabs>
          <w:tab w:leader="none" w:pos="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22" w:name="page123"/>
    <w:bookmarkEnd w:id="122"/>
    <w:p>
      <w:pPr>
        <w:ind w:firstLine="987"/>
        <w:spacing w:after="0" w:line="289" w:lineRule="auto"/>
        <w:tabs>
          <w:tab w:leader="none" w:pos="1246"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Agreement</w:t>
      </w:r>
      <w:r>
        <w:rPr>
          <w:rFonts w:ascii="Times New Roman" w:cs="Times New Roman" w:eastAsia="Times New Roman" w:hAnsi="Times New Roman"/>
          <w:sz w:val="17"/>
          <w:szCs w:val="17"/>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49" w:lineRule="exact"/>
        <w:rPr>
          <w:rFonts w:ascii="Times New Roman" w:cs="Times New Roman" w:eastAsia="Times New Roman" w:hAnsi="Times New Roman"/>
          <w:sz w:val="17"/>
          <w:szCs w:val="17"/>
          <w:color w:val="auto"/>
        </w:rPr>
      </w:pPr>
    </w:p>
    <w:p>
      <w:pPr>
        <w:ind w:right="260" w:firstLine="987"/>
        <w:spacing w:after="0" w:line="282" w:lineRule="auto"/>
        <w:tabs>
          <w:tab w:leader="none" w:pos="123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53"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53" w:lineRule="exact"/>
        <w:rPr>
          <w:rFonts w:ascii="Times New Roman" w:cs="Times New Roman" w:eastAsia="Times New Roman" w:hAnsi="Times New Roman"/>
          <w:sz w:val="18"/>
          <w:szCs w:val="18"/>
          <w:color w:val="auto"/>
        </w:rPr>
      </w:pPr>
    </w:p>
    <w:p>
      <w:pPr>
        <w:jc w:val="both"/>
        <w:ind w:right="160" w:firstLine="987"/>
        <w:spacing w:after="0" w:line="289" w:lineRule="auto"/>
        <w:tabs>
          <w:tab w:leader="none" w:pos="1236"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 of Restrictions</w:t>
      </w:r>
      <w:r>
        <w:rPr>
          <w:rFonts w:ascii="Times New Roman" w:cs="Times New Roman" w:eastAsia="Times New Roman" w:hAnsi="Times New Roman"/>
          <w:sz w:val="17"/>
          <w:szCs w:val="17"/>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49" w:lineRule="exact"/>
        <w:rPr>
          <w:rFonts w:ascii="Times New Roman" w:cs="Times New Roman" w:eastAsia="Times New Roman" w:hAnsi="Times New Roman"/>
          <w:sz w:val="17"/>
          <w:szCs w:val="17"/>
          <w:color w:val="auto"/>
        </w:rPr>
      </w:pPr>
    </w:p>
    <w:p>
      <w:pPr>
        <w:ind w:right="140" w:firstLine="987"/>
        <w:spacing w:after="0" w:line="282" w:lineRule="auto"/>
        <w:tabs>
          <w:tab w:leader="none" w:pos="121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53" w:lineRule="exact"/>
        <w:rPr>
          <w:rFonts w:ascii="Times New Roman" w:cs="Times New Roman" w:eastAsia="Times New Roman" w:hAnsi="Times New Roman"/>
          <w:sz w:val="18"/>
          <w:szCs w:val="18"/>
          <w:color w:val="auto"/>
        </w:rPr>
      </w:pPr>
    </w:p>
    <w:p>
      <w:pPr>
        <w:ind w:right="420" w:firstLine="987"/>
        <w:spacing w:after="0" w:line="261" w:lineRule="auto"/>
        <w:tabs>
          <w:tab w:leader="none" w:pos="124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7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40" w:firstLine="987"/>
        <w:spacing w:after="0" w:line="266" w:lineRule="auto"/>
        <w:tabs>
          <w:tab w:leader="none" w:pos="123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67"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23" w:name="page124"/>
    <w:bookmarkEnd w:id="123"/>
    <w:p>
      <w:pPr>
        <w:jc w:val="both"/>
        <w:ind w:right="360" w:firstLine="987"/>
        <w:spacing w:after="0" w:line="266" w:lineRule="auto"/>
        <w:tabs>
          <w:tab w:leader="none" w:pos="12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67" w:lineRule="exact"/>
        <w:rPr>
          <w:rFonts w:ascii="Times New Roman" w:cs="Times New Roman" w:eastAsia="Times New Roman" w:hAnsi="Times New Roman"/>
          <w:sz w:val="18"/>
          <w:szCs w:val="18"/>
          <w:color w:val="auto"/>
        </w:rPr>
      </w:pPr>
    </w:p>
    <w:p>
      <w:pPr>
        <w:ind w:right="340" w:firstLine="987"/>
        <w:spacing w:after="0" w:line="266" w:lineRule="auto"/>
        <w:tabs>
          <w:tab w:leader="none" w:pos="124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117"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w:t>
      </w:r>
    </w:p>
    <w:p>
      <w:pPr>
        <w:spacing w:after="0" w:line="2"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In no event will the Company have any obligation under the terms of this Plan to reimburse a Participant for any taxes or other costs that may be imposed on Participant as a result of Section 409A.</w:t>
      </w:r>
    </w:p>
    <w:p>
      <w:pPr>
        <w:spacing w:after="0" w:line="73" w:lineRule="exact"/>
        <w:rPr>
          <w:rFonts w:ascii="Times New Roman" w:cs="Times New Roman" w:eastAsia="Times New Roman" w:hAnsi="Times New Roman"/>
          <w:sz w:val="18"/>
          <w:szCs w:val="18"/>
          <w:color w:val="auto"/>
        </w:rPr>
      </w:pPr>
    </w:p>
    <w:p>
      <w:pPr>
        <w:ind w:right="100" w:firstLine="436"/>
        <w:spacing w:after="0" w:line="238" w:lineRule="auto"/>
        <w:tabs>
          <w:tab w:leader="none" w:pos="70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w:t>
      </w:r>
    </w:p>
    <w:p>
      <w:pPr>
        <w:spacing w:after="0" w:line="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Transferability of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24" w:name="page125"/>
    <w:bookmarkEnd w:id="124"/>
    <w:p>
      <w:pPr>
        <w:ind w:left="-40" w:right="40" w:firstLine="987"/>
        <w:spacing w:after="0" w:line="253" w:lineRule="auto"/>
        <w:tabs>
          <w:tab w:leader="none" w:pos="120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(the “Rule 12h-1(f) Exemption”),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in each case, to the extent required for continued reliance on the Rule 12h-1(f) Exemption. Notwithstanding the foregoing sentence, the Administrator, in its sole discretion, may determine to permit transfers to the Company or in connection with a Change in Control or other acquisition transactions involving the Company to the extent permitted by Rule 12h-1(f) or, if the Company is not relying on the Rule 12h-1(f) Exemption, to the extent permitted by the Plan.</w:t>
      </w:r>
    </w:p>
    <w:p>
      <w:pPr>
        <w:spacing w:after="0" w:line="86"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 w:firstLine="987"/>
        <w:spacing w:after="0" w:line="255" w:lineRule="auto"/>
        <w:tabs>
          <w:tab w:leader="none" w:pos="119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provided, however, that the Administrator will make such adjustments to an Award required by Section 25102(o) of the California Corporations Code to the extent the Company is relying upon the exemption afforded thereby with respect to the Award.</w:t>
      </w:r>
    </w:p>
    <w:p>
      <w:pPr>
        <w:spacing w:after="0" w:line="80" w:lineRule="exact"/>
        <w:rPr>
          <w:rFonts w:ascii="Times New Roman" w:cs="Times New Roman" w:eastAsia="Times New Roman" w:hAnsi="Times New Roman"/>
          <w:sz w:val="18"/>
          <w:szCs w:val="18"/>
          <w:color w:val="auto"/>
        </w:rPr>
      </w:pPr>
    </w:p>
    <w:p>
      <w:pPr>
        <w:ind w:left="-40" w:right="140" w:firstLine="987"/>
        <w:spacing w:after="0" w:line="266" w:lineRule="auto"/>
        <w:tabs>
          <w:tab w:leader="none" w:pos="120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67" w:lineRule="exact"/>
        <w:rPr>
          <w:rFonts w:ascii="Times New Roman" w:cs="Times New Roman" w:eastAsia="Times New Roman" w:hAnsi="Times New Roman"/>
          <w:sz w:val="18"/>
          <w:szCs w:val="18"/>
          <w:color w:val="auto"/>
        </w:rPr>
      </w:pPr>
    </w:p>
    <w:p>
      <w:pPr>
        <w:ind w:left="-40" w:right="60" w:firstLine="987"/>
        <w:spacing w:after="0" w:line="254" w:lineRule="auto"/>
        <w:tabs>
          <w:tab w:leader="none" w:pos="119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80" w:top="270" w:right="479" w:bottom="1440" w:gutter="0" w:footer="0" w:header="0"/>
        </w:sectPr>
      </w:pPr>
    </w:p>
    <w:bookmarkStart w:id="125" w:name="page126"/>
    <w:bookmarkEnd w:id="12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13(c), the Administrator will not be obligated to treat all Awards, all Awards held by a Participant, or all Awards of the same type, similarly.</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all cases, unless specifically provided otherwise under the applicable Award Agreement or other written agreement between the Participant and the Company or any of its Subsidiaries or Parents, as applicable.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8"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13(c),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88"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13(c) to the contrary, and unless otherwise provided in an Award Agreement,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0" w:lineRule="exact"/>
        <w:rPr>
          <w:sz w:val="20"/>
          <w:szCs w:val="20"/>
          <w:color w:val="auto"/>
        </w:rPr>
      </w:pPr>
    </w:p>
    <w:p>
      <w:pPr>
        <w:jc w:val="both"/>
        <w:ind w:right="160" w:firstLine="991"/>
        <w:spacing w:after="0" w:line="281" w:lineRule="auto"/>
        <w:rPr>
          <w:sz w:val="20"/>
          <w:szCs w:val="20"/>
          <w:color w:val="auto"/>
        </w:rPr>
      </w:pPr>
      <w:r>
        <w:rPr>
          <w:rFonts w:ascii="Times New Roman" w:cs="Times New Roman" w:eastAsia="Times New Roman" w:hAnsi="Times New Roman"/>
          <w:sz w:val="17"/>
          <w:szCs w:val="17"/>
          <w:color w:val="auto"/>
        </w:rPr>
        <w:t>Notwithstanding anything in this Section 13(c)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26" w:name="page127"/>
    <w:bookmarkEnd w:id="126"/>
    <w:p>
      <w:pPr>
        <w:ind w:left="704" w:hanging="264"/>
        <w:spacing w:after="0"/>
        <w:tabs>
          <w:tab w:leader="none" w:pos="70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Withholding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4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67"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5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such methods as the Administrator shall determine, including, without limitation, (i) paying cash, (ii) electing to have the Company withhold otherwise deliverable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w:t>
      </w:r>
    </w:p>
    <w:p>
      <w:pPr>
        <w:spacing w:after="0" w:line="2" w:lineRule="exact"/>
        <w:rPr>
          <w:rFonts w:ascii="Times New Roman" w:cs="Times New Roman" w:eastAsia="Times New Roman" w:hAnsi="Times New Roman"/>
          <w:sz w:val="18"/>
          <w:szCs w:val="18"/>
          <w:color w:val="auto"/>
        </w:rPr>
      </w:pPr>
    </w:p>
    <w:p>
      <w:pPr>
        <w:ind w:left="4" w:hanging="4"/>
        <w:spacing w:after="0" w:line="252" w:lineRule="auto"/>
        <w:tabs>
          <w:tab w:leader="none" w:pos="30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 sufficient number of Shares otherwise deliverable to the Participant through such means as the Administrator may determine in its sole discretion (whether through a broker or otherwise) equal to the amount required to be withheld, or (v)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81"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71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71"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71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27" w:name="page128"/>
    <w:bookmarkEnd w:id="127"/>
    <w:p>
      <w:pPr>
        <w:ind w:firstLine="436"/>
        <w:spacing w:after="0" w:line="266" w:lineRule="auto"/>
        <w:tabs>
          <w:tab w:leader="none" w:pos="7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of Plan</w:t>
      </w:r>
      <w:r>
        <w:rPr>
          <w:rFonts w:ascii="Times New Roman" w:cs="Times New Roman" w:eastAsia="Times New Roman" w:hAnsi="Times New Roman"/>
          <w:sz w:val="18"/>
          <w:szCs w:val="18"/>
          <w:color w:val="auto"/>
        </w:rPr>
        <w:t>. Subject to Section 21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Board may at any time amend, alter, suspend or terminate the Plan.</w:t>
      </w:r>
    </w:p>
    <w:p>
      <w:pPr>
        <w:spacing w:after="0" w:line="117"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53" w:lineRule="exact"/>
        <w:rPr>
          <w:rFonts w:ascii="Times New Roman" w:cs="Times New Roman" w:eastAsia="Times New Roman" w:hAnsi="Times New Roman"/>
          <w:sz w:val="18"/>
          <w:szCs w:val="18"/>
          <w:color w:val="auto"/>
        </w:rPr>
      </w:pPr>
    </w:p>
    <w:p>
      <w:pPr>
        <w:ind w:right="300" w:firstLine="987"/>
        <w:spacing w:after="0" w:line="261" w:lineRule="auto"/>
        <w:tabs>
          <w:tab w:leader="none" w:pos="12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67" w:lineRule="exact"/>
        <w:rPr>
          <w:rFonts w:ascii="Times New Roman" w:cs="Times New Roman" w:eastAsia="Times New Roman" w:hAnsi="Times New Roman"/>
          <w:sz w:val="18"/>
          <w:szCs w:val="18"/>
          <w:color w:val="auto"/>
        </w:rPr>
      </w:pPr>
    </w:p>
    <w:p>
      <w:pPr>
        <w:ind w:right="20" w:firstLine="436"/>
        <w:spacing w:after="0" w:line="256" w:lineRule="auto"/>
        <w:tabs>
          <w:tab w:leader="none" w:pos="7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79" w:lineRule="exact"/>
        <w:rPr>
          <w:rFonts w:ascii="Times New Roman" w:cs="Times New Roman" w:eastAsia="Times New Roman" w:hAnsi="Times New Roman"/>
          <w:sz w:val="18"/>
          <w:szCs w:val="18"/>
          <w:color w:val="auto"/>
        </w:rPr>
      </w:pPr>
    </w:p>
    <w:p>
      <w:pPr>
        <w:ind w:right="160" w:firstLine="436"/>
        <w:spacing w:after="0" w:line="282" w:lineRule="auto"/>
        <w:tabs>
          <w:tab w:leader="none" w:pos="7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28" w:name="page129"/>
    <w:bookmarkEnd w:id="128"/>
    <w:p>
      <w:pPr>
        <w:ind w:firstLine="436"/>
        <w:spacing w:after="0" w:line="253" w:lineRule="auto"/>
        <w:tabs>
          <w:tab w:leader="none" w:pos="71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to Participants</w:t>
      </w:r>
      <w:r>
        <w:rPr>
          <w:rFonts w:ascii="Times New Roman" w:cs="Times New Roman" w:eastAsia="Times New Roman" w:hAnsi="Times New Roman"/>
          <w:sz w:val="18"/>
          <w:szCs w:val="18"/>
          <w:color w:val="auto"/>
        </w:rPr>
        <w:t>. If and as required (i) pursuant to Rule 701 of the Securities Act, if the Company is relying on the exemption from registration provided pursuant to Rule 701 of the Securities Act with respect to the applicable Award, and/or (ii) pursuant to Rule 12h-1(f) of the Exchange Act, to the extent the Company is relying on the Rule 12h-1(f) Exemption, then during the period of reliance on the applicable exemption and in each case of (i) and (ii) until such time as the Company becomes subject to the reporting requirements of Section 13 or 15(d) of the Exchange Act, the Company shall provide to each Participant the information described in paragraphs (e)(3), (4), and (5) of Rule 701 under the Securities Act not less frequently than every six (6) 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(if the Company is relying on the Rule 12h-1(f) Exemption) or Rule 701 of the Securities Act (if the Company is relying on the exemption pursuant to Rule 701 of the Securities Act).</w:t>
      </w:r>
    </w:p>
    <w:p>
      <w:pPr>
        <w:spacing w:after="0" w:line="81" w:lineRule="exact"/>
        <w:rPr>
          <w:rFonts w:ascii="Times New Roman" w:cs="Times New Roman" w:eastAsia="Times New Roman" w:hAnsi="Times New Roman"/>
          <w:sz w:val="18"/>
          <w:szCs w:val="18"/>
          <w:color w:val="auto"/>
        </w:rPr>
      </w:pPr>
    </w:p>
    <w:p>
      <w:pPr>
        <w:ind w:right="100" w:firstLine="436"/>
        <w:spacing w:after="0" w:line="256" w:lineRule="auto"/>
        <w:tabs>
          <w:tab w:leader="none" w:pos="71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The Administrator may specify in an Award Agreement that the Participant’s rights, payments, and benefits with respect to an Award will be subject to the reduction, cancellation, forfeiture, or recoupment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(the “Clawback Policy”). The Administrator may require a Participant to forfeit, return or reimburse the Company all or a portion of the Award and any amounts paid thereunder pursuant to the terms of the Clawback Policy or as necessary or appropriate to comply with Applicable Laws.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TEAMSHARES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9"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terms defined in the 2020 Equity Incentive Plan (the “Plan”) shall have the same defined meanings in this Stock Option Agreement (the “Option Agreement”).</w:t>
      </w:r>
    </w:p>
    <w:p>
      <w:pPr>
        <w:spacing w:after="0" w:line="306" w:lineRule="exact"/>
        <w:rPr>
          <w:sz w:val="20"/>
          <w:szCs w:val="20"/>
          <w:color w:val="auto"/>
        </w:rPr>
      </w:pPr>
    </w:p>
    <w:p>
      <w:pPr>
        <w:ind w:left="444" w:right="7460" w:hanging="444"/>
        <w:spacing w:after="0" w:line="375" w:lineRule="auto"/>
        <w:tabs>
          <w:tab w:leader="none" w:pos="436"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NOTICE OF STOCK OPTION GRANT </w:t>
      </w:r>
      <w:r>
        <w:rPr>
          <w:rFonts w:ascii="Times New Roman" w:cs="Times New Roman" w:eastAsia="Times New Roman" w:hAnsi="Times New Roman"/>
          <w:sz w:val="18"/>
          <w:szCs w:val="18"/>
          <w:b w:val="1"/>
          <w:bCs w:val="1"/>
          <w:color w:val="auto"/>
        </w:rPr>
        <w:t>Name:</w:t>
      </w:r>
    </w:p>
    <w:p>
      <w:pPr>
        <w:spacing w:after="0" w:line="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undersigned Participant has been granted an Option to purchase Common Stock of the Company, subject to the terms and conditions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Plan and this Option Agreement, as follows:</w:t>
      </w:r>
    </w:p>
    <w:p>
      <w:pPr>
        <w:spacing w:after="0" w:line="232" w:lineRule="exact"/>
        <w:rPr>
          <w:sz w:val="20"/>
          <w:szCs w:val="20"/>
          <w:color w:val="auto"/>
        </w:rPr>
      </w:pPr>
    </w:p>
    <w:tbl>
      <w:tblPr>
        <w:tblLayout w:type="fixed"/>
        <w:tblInd w:w="444" w:type="dxa"/>
        <w:tblCellMar>
          <w:top w:w="0" w:type="dxa"/>
          <w:left w:w="0" w:type="dxa"/>
          <w:bottom w:w="0" w:type="dxa"/>
          <w:right w:w="0" w:type="dxa"/>
        </w:tblCellMar>
      </w:tblPr>
      <w:tr>
        <w:trPr>
          <w:trHeight w:val="23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As Set Forth in Carta</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                </w:t>
            </w:r>
          </w:p>
        </w:tc>
      </w:tr>
      <w:tr>
        <w:trPr>
          <w:trHeight w:val="33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As Set Forth in Carta</w:t>
            </w:r>
          </w:p>
        </w:tc>
        <w:tc>
          <w:tcPr>
            <w:tcW w:w="1040" w:type="dxa"/>
            <w:vAlign w:val="bottom"/>
          </w:tcPr>
          <w:p>
            <w:pPr>
              <w:spacing w:after="0"/>
              <w:rPr>
                <w:sz w:val="24"/>
                <w:szCs w:val="24"/>
                <w:color w:val="auto"/>
              </w:rPr>
            </w:pPr>
          </w:p>
        </w:tc>
      </w:tr>
      <w:tr>
        <w:trPr>
          <w:trHeight w:val="33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Set Forth in Carta</w:t>
            </w:r>
          </w:p>
        </w:tc>
        <w:tc>
          <w:tcPr>
            <w:tcW w:w="1040" w:type="dxa"/>
            <w:vAlign w:val="bottom"/>
          </w:tcPr>
          <w:p>
            <w:pPr>
              <w:spacing w:after="0"/>
              <w:rPr>
                <w:sz w:val="24"/>
                <w:szCs w:val="24"/>
                <w:color w:val="auto"/>
              </w:rPr>
            </w:pPr>
          </w:p>
        </w:tc>
      </w:tr>
      <w:tr>
        <w:trPr>
          <w:trHeight w:val="33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Shares Granted:</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Set Forth in Carta</w:t>
            </w:r>
          </w:p>
        </w:tc>
        <w:tc>
          <w:tcPr>
            <w:tcW w:w="1040" w:type="dxa"/>
            <w:vAlign w:val="bottom"/>
          </w:tcPr>
          <w:p>
            <w:pPr>
              <w:spacing w:after="0"/>
              <w:rPr>
                <w:sz w:val="24"/>
                <w:szCs w:val="24"/>
                <w:color w:val="auto"/>
              </w:rPr>
            </w:pPr>
          </w:p>
        </w:tc>
      </w:tr>
      <w:tr>
        <w:trPr>
          <w:trHeight w:val="33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Exercise Price :</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Set Forth in Carta</w:t>
            </w:r>
          </w:p>
        </w:tc>
        <w:tc>
          <w:tcPr>
            <w:tcW w:w="1040" w:type="dxa"/>
            <w:vAlign w:val="bottom"/>
          </w:tcPr>
          <w:p>
            <w:pPr>
              <w:spacing w:after="0"/>
              <w:rPr>
                <w:sz w:val="24"/>
                <w:szCs w:val="24"/>
                <w:color w:val="auto"/>
              </w:rPr>
            </w:pPr>
          </w:p>
        </w:tc>
      </w:tr>
      <w:tr>
        <w:trPr>
          <w:trHeight w:val="33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As Set Forth in Carta</w:t>
            </w:r>
          </w:p>
        </w:tc>
        <w:tc>
          <w:tcPr>
            <w:tcW w:w="1040" w:type="dxa"/>
            <w:vAlign w:val="bottom"/>
          </w:tcPr>
          <w:p>
            <w:pPr>
              <w:spacing w:after="0"/>
              <w:rPr>
                <w:sz w:val="24"/>
                <w:szCs w:val="24"/>
                <w:color w:val="auto"/>
              </w:rPr>
            </w:pPr>
          </w:p>
        </w:tc>
      </w:tr>
      <w:tr>
        <w:trPr>
          <w:trHeight w:val="33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Term/Expiration Date:</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As Set Forth in Carta</w:t>
            </w:r>
          </w:p>
        </w:tc>
        <w:tc>
          <w:tcPr>
            <w:tcW w:w="1040" w:type="dxa"/>
            <w:vAlign w:val="bottom"/>
          </w:tcPr>
          <w:p>
            <w:pPr>
              <w:spacing w:after="0"/>
              <w:rPr>
                <w:sz w:val="24"/>
                <w:szCs w:val="24"/>
                <w:color w:val="auto"/>
              </w:rPr>
            </w:pPr>
          </w:p>
        </w:tc>
      </w:tr>
      <w:tr>
        <w:trPr>
          <w:trHeight w:val="398"/>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4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Option shall be exercisable, in whole or in part, according to the following vesting schedule:</w:t>
      </w:r>
    </w:p>
    <w:p>
      <w:pPr>
        <w:spacing w:after="0" w:line="3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As Set Forth in Carta</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Termination Period</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As Set Forth in Carta</w:t>
      </w:r>
    </w:p>
    <w:p>
      <w:pPr>
        <w:spacing w:after="0" w:line="119"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sentence, in no event may this Option be exercised after the Term/Expiration Date as provided above and this Option may be subject to earlier termination as provided in Section 13 of the Plan.</w:t>
      </w:r>
    </w:p>
    <w:p>
      <w:pPr>
        <w:sectPr>
          <w:pgSz w:w="11900" w:h="16838" w:orient="portrait"/>
          <w:cols w:equalWidth="0" w:num="1">
            <w:col w:w="11024"/>
          </w:cols>
          <w:pgMar w:left="436" w:top="117" w:right="439" w:bottom="1440" w:gutter="0" w:footer="0" w:header="0"/>
        </w:sectPr>
      </w:pPr>
    </w:p>
    <w:bookmarkStart w:id="130" w:name="page131"/>
    <w:bookmarkEnd w:id="130"/>
    <w:p>
      <w:pPr>
        <w:ind w:left="424" w:hanging="424"/>
        <w:spacing w:after="0"/>
        <w:tabs>
          <w:tab w:leader="none" w:pos="42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58" w:lineRule="auto"/>
        <w:tabs>
          <w:tab w:leader="none" w:pos="62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Administrator of the Company hereby grants to the Participant named in the Notice of Stock Option Grant in Part I of this Option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18 of the Plan, in the event of a conflict between the terms and conditions of the Plan and this Option Agreement, the terms and conditions of the Plan shall prevail.</w:t>
      </w:r>
    </w:p>
    <w:p>
      <w:pPr>
        <w:spacing w:after="0" w:line="183"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79" w:lineRule="exact"/>
        <w:rPr>
          <w:sz w:val="20"/>
          <w:szCs w:val="20"/>
          <w:color w:val="auto"/>
        </w:rPr>
      </w:pPr>
    </w:p>
    <w:p>
      <w:pPr>
        <w:ind w:left="624" w:hanging="184"/>
        <w:spacing w:after="0"/>
        <w:tabs>
          <w:tab w:leader="none" w:pos="6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320" w:firstLine="987"/>
        <w:spacing w:after="0" w:line="282" w:lineRule="auto"/>
        <w:tabs>
          <w:tab w:leader="none" w:pos="12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shall be exercisable during its term in accordance with the Vesting Schedule set out in the Notice of Stock Option Grant and with the applicable provisions of the Plan and this Option Agreement.</w:t>
      </w:r>
    </w:p>
    <w:p>
      <w:pPr>
        <w:spacing w:after="0" w:line="53"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This Option shall be exercisable by delivery of an exercise notice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“Exercise Notice”) or in a manner and pursuant to such 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87"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68" w:lineRule="exact"/>
        <w:rPr>
          <w:sz w:val="20"/>
          <w:szCs w:val="20"/>
          <w:color w:val="auto"/>
        </w:rPr>
      </w:pPr>
    </w:p>
    <w:p>
      <w:pPr>
        <w:ind w:left="4" w:right="260" w:firstLine="436"/>
        <w:spacing w:after="0" w:line="266" w:lineRule="auto"/>
        <w:tabs>
          <w:tab w:leader="none" w:pos="6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 Representations</w:t>
      </w:r>
      <w:r>
        <w:rPr>
          <w:rFonts w:ascii="Times New Roman" w:cs="Times New Roman" w:eastAsia="Times New Roman" w:hAnsi="Times New Roman"/>
          <w:sz w:val="18"/>
          <w:szCs w:val="18"/>
          <w:color w:val="auto"/>
        </w:rPr>
        <w:t xml:space="preserve">. In the event the Shares have not been registered under the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6" w:right="499" w:bottom="1440" w:gutter="0" w:footer="0" w:header="0"/>
        </w:sectPr>
      </w:pPr>
    </w:p>
    <w:bookmarkStart w:id="131" w:name="page132"/>
    <w:bookmarkEnd w:id="131"/>
    <w:p>
      <w:pPr>
        <w:ind w:firstLine="436"/>
        <w:spacing w:after="0" w:line="254" w:lineRule="auto"/>
        <w:tabs>
          <w:tab w:leader="none" w:pos="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Lock-Up Period</w:t>
      </w:r>
      <w:r>
        <w:rPr>
          <w:rFonts w:ascii="Times New Roman" w:cs="Times New Roman" w:eastAsia="Times New Roman" w:hAnsi="Times New Roman"/>
          <w:sz w:val="18"/>
          <w:szCs w:val="18"/>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NYSE Rule 472(f)(4), or any successor provisions or amendments thereto).</w:t>
      </w:r>
    </w:p>
    <w:p>
      <w:pPr>
        <w:spacing w:after="0" w:line="188"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86" w:lineRule="exact"/>
        <w:rPr>
          <w:sz w:val="20"/>
          <w:szCs w:val="20"/>
          <w:color w:val="auto"/>
        </w:rPr>
      </w:pPr>
    </w:p>
    <w:p>
      <w:pPr>
        <w:ind w:right="200" w:firstLine="436"/>
        <w:spacing w:after="0" w:line="282" w:lineRule="auto"/>
        <w:tabs>
          <w:tab w:leader="none" w:pos="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shall be by any of the following, or a combination thereof, at the election of the Participant:</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formal cashless exercise program adopted by the Company in connection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or</w:t>
      </w:r>
    </w:p>
    <w:p>
      <w:pPr>
        <w:spacing w:after="0" w:line="98"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67" w:lineRule="exact"/>
        <w:rPr>
          <w:rFonts w:ascii="Times New Roman" w:cs="Times New Roman" w:eastAsia="Times New Roman" w:hAnsi="Times New Roman"/>
          <w:sz w:val="18"/>
          <w:szCs w:val="18"/>
          <w:color w:val="auto"/>
        </w:rPr>
      </w:pPr>
    </w:p>
    <w:p>
      <w:pPr>
        <w:ind w:right="100" w:firstLine="436"/>
        <w:spacing w:after="0" w:line="266" w:lineRule="auto"/>
        <w:tabs>
          <w:tab w:leader="none" w:pos="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32" w:name="page133"/>
    <w:bookmarkEnd w:id="132"/>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Non-Transferability of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6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“Reliance End Date”),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83" w:lineRule="exact"/>
        <w:rPr>
          <w:rFonts w:ascii="Times New Roman" w:cs="Times New Roman" w:eastAsia="Times New Roman" w:hAnsi="Times New Roman"/>
          <w:sz w:val="18"/>
          <w:szCs w:val="18"/>
          <w:color w:val="auto"/>
        </w:rPr>
      </w:pPr>
    </w:p>
    <w:p>
      <w:pPr>
        <w:ind w:right="200" w:firstLine="436"/>
        <w:spacing w:after="0" w:line="282" w:lineRule="auto"/>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This Option may be exercised only within the term set out in the Notice of Stock Option Grant, and may be exercised during such term only in accordance with the Plan and the terms of this Option Agreement.</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71"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Disqualifying Disposition of ISO Shares</w:t>
      </w:r>
      <w:r>
        <w:rPr>
          <w:rFonts w:ascii="Times New Roman" w:cs="Times New Roman" w:eastAsia="Times New Roman" w:hAnsi="Times New Roman"/>
          <w:sz w:val="18"/>
          <w:szCs w:val="18"/>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71" w:lineRule="exact"/>
        <w:rPr>
          <w:rFonts w:ascii="Times New Roman" w:cs="Times New Roman" w:eastAsia="Times New Roman" w:hAnsi="Times New Roman"/>
          <w:sz w:val="18"/>
          <w:szCs w:val="18"/>
          <w:color w:val="auto"/>
        </w:rPr>
      </w:pPr>
    </w:p>
    <w:p>
      <w:pPr>
        <w:jc w:val="both"/>
        <w:ind w:right="220" w:firstLine="987"/>
        <w:spacing w:after="0" w:line="261" w:lineRule="auto"/>
        <w:tabs>
          <w:tab w:leader="none" w:pos="123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33" w:name="page134"/>
    <w:bookmarkEnd w:id="133"/>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79" w:lineRule="exact"/>
        <w:rPr>
          <w:sz w:val="20"/>
          <w:szCs w:val="20"/>
          <w:color w:val="auto"/>
        </w:rPr>
      </w:pPr>
    </w:p>
    <w:p>
      <w:pPr>
        <w:ind w:right="100" w:firstLine="436"/>
        <w:spacing w:after="0" w:line="258" w:lineRule="auto"/>
        <w:tabs>
          <w:tab w:leader="none" w:pos="71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Delaware.</w:t>
      </w:r>
    </w:p>
    <w:p>
      <w:pPr>
        <w:spacing w:after="0" w:line="75" w:lineRule="exact"/>
        <w:rPr>
          <w:rFonts w:ascii="Times New Roman" w:cs="Times New Roman" w:eastAsia="Times New Roman" w:hAnsi="Times New Roman"/>
          <w:sz w:val="18"/>
          <w:szCs w:val="18"/>
          <w:color w:val="auto"/>
        </w:rPr>
      </w:pPr>
    </w:p>
    <w:p>
      <w:pPr>
        <w:ind w:firstLine="436"/>
        <w:spacing w:after="0" w:line="271" w:lineRule="auto"/>
        <w:tabs>
          <w:tab w:leader="none" w:pos="703"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Guarantee of Continued Service</w:t>
      </w:r>
      <w:r>
        <w:rPr>
          <w:rFonts w:ascii="Times New Roman" w:cs="Times New Roman" w:eastAsia="Times New Roman" w:hAnsi="Times New Roman"/>
          <w:sz w:val="17"/>
          <w:szCs w:val="17"/>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134" w:name="page135"/>
    <w:bookmarkEnd w:id="134"/>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TEAMSHARES INC.</w:t>
            </w:r>
          </w:p>
        </w:tc>
      </w:tr>
      <w:tr>
        <w:trPr>
          <w:trHeight w:val="432"/>
        </w:trPr>
        <w:tc>
          <w:tcPr>
            <w:tcW w:w="496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2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427"/>
        </w:trPr>
        <w:tc>
          <w:tcPr>
            <w:tcW w:w="4960" w:type="dxa"/>
            <w:vAlign w:val="bottom"/>
          </w:tcPr>
          <w:p>
            <w:pPr>
              <w:spacing w:after="0"/>
              <w:rPr>
                <w:sz w:val="24"/>
                <w:szCs w:val="24"/>
                <w:color w:val="auto"/>
              </w:rPr>
            </w:pPr>
          </w:p>
        </w:tc>
        <w:tc>
          <w:tcPr>
            <w:tcW w:w="6060" w:type="dxa"/>
            <w:vAlign w:val="bottom"/>
            <w:gridSpan w:val="2"/>
          </w:tcPr>
          <w:p>
            <w:pPr>
              <w:spacing w:after="0"/>
              <w:rPr>
                <w:sz w:val="24"/>
                <w:szCs w:val="24"/>
                <w:color w:val="auto"/>
              </w:rPr>
            </w:pPr>
          </w:p>
        </w:tc>
      </w:tr>
      <w:tr>
        <w:trPr>
          <w:trHeight w:val="228"/>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c>
          <w:tcPr>
            <w:tcW w:w="120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427"/>
        </w:trPr>
        <w:tc>
          <w:tcPr>
            <w:tcW w:w="4960" w:type="dxa"/>
            <w:vAlign w:val="bottom"/>
          </w:tcPr>
          <w:p>
            <w:pPr>
              <w:spacing w:after="0"/>
              <w:rPr>
                <w:sz w:val="24"/>
                <w:szCs w:val="24"/>
                <w:color w:val="auto"/>
              </w:rPr>
            </w:pPr>
          </w:p>
        </w:tc>
        <w:tc>
          <w:tcPr>
            <w:tcW w:w="6060" w:type="dxa"/>
            <w:vAlign w:val="bottom"/>
            <w:gridSpan w:val="2"/>
          </w:tcPr>
          <w:p>
            <w:pPr>
              <w:spacing w:after="0"/>
              <w:rPr>
                <w:sz w:val="24"/>
                <w:szCs w:val="24"/>
                <w:color w:val="auto"/>
              </w:rPr>
            </w:pPr>
          </w:p>
        </w:tc>
      </w:tr>
      <w:tr>
        <w:trPr>
          <w:trHeight w:val="228"/>
        </w:trPr>
        <w:tc>
          <w:tcPr>
            <w:tcW w:w="496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11"/>
        </w:trPr>
        <w:tc>
          <w:tcPr>
            <w:tcW w:w="496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Residence Address</w:t>
            </w:r>
          </w:p>
        </w:tc>
        <w:tc>
          <w:tcPr>
            <w:tcW w:w="12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360"/>
        </w:trPr>
        <w:tc>
          <w:tcPr>
            <w:tcW w:w="4960" w:type="dxa"/>
            <w:vAlign w:val="bottom"/>
          </w:tcPr>
          <w:p>
            <w:pPr>
              <w:spacing w:after="0"/>
              <w:rPr>
                <w:sz w:val="24"/>
                <w:szCs w:val="24"/>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35" w:name="page136"/>
    <w:bookmarkEnd w:id="135"/>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2020 EQUITY INCENTIVE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PLAN EXERCISE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Teamshares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Sullivan Street 6B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25" w:lineRule="exact"/>
        <w:rPr>
          <w:sz w:val="20"/>
          <w:szCs w:val="20"/>
          <w:color w:val="auto"/>
        </w:rPr>
      </w:pPr>
    </w:p>
    <w:p>
      <w:pPr>
        <w:ind w:right="40" w:firstLine="436"/>
        <w:spacing w:after="0" w:line="266" w:lineRule="auto"/>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Effective as of today, _________, _____, the undersigned (“Participant”) hereby elects to exercise Participant’s option (the “Option”) to purchase ____________ shares of the Class A Voting Common Stock (the “Shares”) of Teamshares Inc. (the “Company”) under and pursuant to the 2020 Equity Incentive Plan (the “Plan”) and the Stock Option Agreement dated______ ,___ (the “Option Agreement”).</w:t>
      </w:r>
    </w:p>
    <w:p>
      <w:pPr>
        <w:spacing w:after="0" w:line="67"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Participant herewith delivers to the Company the full purchase price of the Shares, as set forth in the Option Agreement, and any and all withholding taxes due in connection with the exercise of the Option.</w:t>
      </w:r>
    </w:p>
    <w:p>
      <w:pPr>
        <w:spacing w:after="0" w:line="53" w:lineRule="exact"/>
        <w:rPr>
          <w:rFonts w:ascii="Times New Roman" w:cs="Times New Roman" w:eastAsia="Times New Roman" w:hAnsi="Times New Roman"/>
          <w:sz w:val="18"/>
          <w:szCs w:val="18"/>
          <w:color w:val="auto"/>
        </w:rPr>
      </w:pPr>
    </w:p>
    <w:p>
      <w:pPr>
        <w:ind w:firstLine="436"/>
        <w:spacing w:after="0" w:line="282" w:lineRule="auto"/>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Participant</w:t>
      </w:r>
      <w:r>
        <w:rPr>
          <w:rFonts w:ascii="Times New Roman" w:cs="Times New Roman" w:eastAsia="Times New Roman" w:hAnsi="Times New Roman"/>
          <w:sz w:val="18"/>
          <w:szCs w:val="18"/>
          <w:color w:val="auto"/>
        </w:rPr>
        <w:t>. Participant acknowledges that Participant has received, read and understood the Plan and the Option Agreement and agrees to abide by and be bound by their terms and conditions.</w:t>
      </w:r>
    </w:p>
    <w:p>
      <w:pPr>
        <w:spacing w:after="0" w:line="53" w:lineRule="exact"/>
        <w:rPr>
          <w:rFonts w:ascii="Times New Roman" w:cs="Times New Roman" w:eastAsia="Times New Roman" w:hAnsi="Times New Roman"/>
          <w:sz w:val="18"/>
          <w:szCs w:val="18"/>
          <w:color w:val="auto"/>
        </w:rPr>
      </w:pPr>
    </w:p>
    <w:p>
      <w:pPr>
        <w:ind w:right="60" w:firstLine="436"/>
        <w:spacing w:after="0" w:line="258" w:lineRule="auto"/>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Class A Voting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75" w:lineRule="exact"/>
        <w:rPr>
          <w:rFonts w:ascii="Times New Roman" w:cs="Times New Roman" w:eastAsia="Times New Roman" w:hAnsi="Times New Roman"/>
          <w:sz w:val="18"/>
          <w:szCs w:val="18"/>
          <w:color w:val="auto"/>
        </w:rPr>
      </w:pPr>
    </w:p>
    <w:p>
      <w:pPr>
        <w:ind w:right="60" w:firstLine="436"/>
        <w:spacing w:after="0" w:line="266" w:lineRule="auto"/>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of First Refusal</w:t>
      </w:r>
      <w:r>
        <w:rPr>
          <w:rFonts w:ascii="Times New Roman" w:cs="Times New Roman" w:eastAsia="Times New Roman" w:hAnsi="Times New Roman"/>
          <w:sz w:val="18"/>
          <w:szCs w:val="18"/>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67"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Proposed Transfer</w:t>
      </w:r>
      <w:r>
        <w:rPr>
          <w:rFonts w:ascii="Times New Roman" w:cs="Times New Roman" w:eastAsia="Times New Roman" w:hAnsi="Times New Roman"/>
          <w:sz w:val="18"/>
          <w:szCs w:val="18"/>
          <w:color w:val="auto"/>
        </w:rPr>
        <w:t>.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ectPr>
          <w:pgSz w:w="11900" w:h="16838" w:orient="portrait"/>
          <w:cols w:equalWidth="0" w:num="1">
            <w:col w:w="10940"/>
          </w:cols>
          <w:pgMar w:left="440" w:top="266" w:right="519" w:bottom="1440" w:gutter="0" w:footer="0" w:header="0"/>
        </w:sectPr>
      </w:pPr>
    </w:p>
    <w:bookmarkStart w:id="136" w:name="page137"/>
    <w:bookmarkEnd w:id="136"/>
    <w:p>
      <w:pPr>
        <w:ind w:left="4" w:right="20" w:firstLine="987"/>
        <w:spacing w:after="0" w:line="266" w:lineRule="auto"/>
        <w:tabs>
          <w:tab w:leader="none" w:pos="125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Right of First Refusal</w:t>
      </w:r>
      <w:r>
        <w:rPr>
          <w:rFonts w:ascii="Times New Roman" w:cs="Times New Roman" w:eastAsia="Times New Roman" w:hAnsi="Times New Roman"/>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67"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67" w:lineRule="exact"/>
        <w:rPr>
          <w:rFonts w:ascii="Times New Roman" w:cs="Times New Roman" w:eastAsia="Times New Roman" w:hAnsi="Times New Roman"/>
          <w:sz w:val="18"/>
          <w:szCs w:val="18"/>
          <w:color w:val="auto"/>
        </w:rPr>
      </w:pPr>
    </w:p>
    <w:p>
      <w:pPr>
        <w:ind w:left="4" w:right="380" w:firstLine="987"/>
        <w:spacing w:after="0" w:line="289" w:lineRule="auto"/>
        <w:tabs>
          <w:tab w:leader="none" w:pos="125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49" w:lineRule="exact"/>
        <w:rPr>
          <w:rFonts w:ascii="Times New Roman" w:cs="Times New Roman" w:eastAsia="Times New Roman" w:hAnsi="Times New Roman"/>
          <w:sz w:val="17"/>
          <w:szCs w:val="17"/>
          <w:color w:val="auto"/>
        </w:rPr>
      </w:pPr>
    </w:p>
    <w:p>
      <w:pPr>
        <w:ind w:left="4" w:right="180" w:firstLine="987"/>
        <w:spacing w:after="0" w:line="272" w:lineRule="auto"/>
        <w:tabs>
          <w:tab w:leader="none" w:pos="124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Right to Transfer</w:t>
      </w:r>
      <w:r>
        <w:rPr>
          <w:rFonts w:ascii="Times New Roman" w:cs="Times New Roman" w:eastAsia="Times New Roman" w:hAnsi="Times New Roman"/>
          <w:sz w:val="17"/>
          <w:szCs w:val="17"/>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sale or other transfer is consummated within one hundred and twenty</w:t>
      </w:r>
    </w:p>
    <w:p>
      <w:pPr>
        <w:spacing w:after="0" w:line="1" w:lineRule="exact"/>
        <w:rPr>
          <w:rFonts w:ascii="Times New Roman" w:cs="Times New Roman" w:eastAsia="Times New Roman" w:hAnsi="Times New Roman"/>
          <w:sz w:val="17"/>
          <w:szCs w:val="17"/>
          <w:color w:val="auto"/>
        </w:rPr>
      </w:pPr>
    </w:p>
    <w:p>
      <w:pPr>
        <w:ind w:left="4" w:right="160" w:hanging="4"/>
        <w:spacing w:after="0" w:line="253" w:lineRule="auto"/>
        <w:tabs>
          <w:tab w:leader="none" w:pos="43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78"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for Certain Family Transfers</w:t>
      </w:r>
      <w:r>
        <w:rPr>
          <w:rFonts w:ascii="Times New Roman" w:cs="Times New Roman" w:eastAsia="Times New Roman" w:hAnsi="Times New Roman"/>
          <w:sz w:val="18"/>
          <w:szCs w:val="18"/>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79"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 of First Refusal</w:t>
      </w:r>
      <w:r>
        <w:rPr>
          <w:rFonts w:ascii="Times New Roman" w:cs="Times New Roman" w:eastAsia="Times New Roman" w:hAnsi="Times New Roman"/>
          <w:sz w:val="18"/>
          <w:szCs w:val="18"/>
          <w:color w:val="auto"/>
        </w:rPr>
        <w:t>. The Right of First Refusal shall terminate as to any Shares upon the earlier of (i) the first sale of Class A Voting Common Stock of the Company to the general public, or (ii) a Change in Control in which the successor corporation has equity securities that are publicly traded.</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4"/>
          </w:cols>
          <w:pgMar w:left="436" w:top="270" w:right="519" w:bottom="1440" w:gutter="0" w:footer="0" w:header="0"/>
        </w:sectPr>
      </w:pPr>
    </w:p>
    <w:bookmarkStart w:id="137" w:name="page138"/>
    <w:bookmarkEnd w:id="137"/>
    <w:p>
      <w:pPr>
        <w:ind w:right="200" w:firstLine="436"/>
        <w:spacing w:after="0" w:line="266" w:lineRule="auto"/>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Consultation</w:t>
      </w:r>
      <w:r>
        <w:rPr>
          <w:rFonts w:ascii="Times New Roman" w:cs="Times New Roman" w:eastAsia="Times New Roman" w:hAnsi="Times New Roman"/>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 and Stop-Transfer Orders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68" w:lineRule="exact"/>
        <w:rPr>
          <w:sz w:val="20"/>
          <w:szCs w:val="20"/>
          <w:color w:val="auto"/>
        </w:rPr>
      </w:pPr>
    </w:p>
    <w:p>
      <w:pPr>
        <w:ind w:left="980"/>
        <w:spacing w:after="0" w:line="281" w:lineRule="auto"/>
        <w:rPr>
          <w:sz w:val="20"/>
          <w:szCs w:val="20"/>
          <w:color w:val="auto"/>
        </w:rPr>
      </w:pPr>
      <w:r>
        <w:rPr>
          <w:rFonts w:ascii="Times New Roman" w:cs="Times New Roman" w:eastAsia="Times New Roman" w:hAnsi="Times New Roman"/>
          <w:sz w:val="17"/>
          <w:szCs w:val="17"/>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56" w:lineRule="exact"/>
        <w:rPr>
          <w:sz w:val="20"/>
          <w:szCs w:val="20"/>
          <w:color w:val="auto"/>
        </w:rPr>
      </w:pPr>
    </w:p>
    <w:p>
      <w:pPr>
        <w:ind w:left="980" w:right="24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75"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75" w:lineRule="exact"/>
        <w:rPr>
          <w:sz w:val="20"/>
          <w:szCs w:val="20"/>
          <w:color w:val="auto"/>
        </w:rPr>
      </w:pPr>
    </w:p>
    <w:p>
      <w:pPr>
        <w:ind w:right="80" w:firstLine="987"/>
        <w:spacing w:after="0" w:line="266"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Notices</w:t>
      </w:r>
      <w:r>
        <w:rPr>
          <w:rFonts w:ascii="Times New Roman" w:cs="Times New Roman" w:eastAsia="Times New Roman" w:hAnsi="Times New Roman"/>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38" w:name="page139"/>
    <w:bookmarkEnd w:id="138"/>
    <w:p>
      <w:pPr>
        <w:ind w:right="540" w:firstLine="987"/>
        <w:spacing w:after="0" w:line="266" w:lineRule="auto"/>
        <w:tabs>
          <w:tab w:leader="none" w:pos="123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67" w:lineRule="exact"/>
        <w:rPr>
          <w:rFonts w:ascii="Times New Roman" w:cs="Times New Roman" w:eastAsia="Times New Roman" w:hAnsi="Times New Roman"/>
          <w:sz w:val="18"/>
          <w:szCs w:val="18"/>
          <w:color w:val="auto"/>
        </w:rPr>
      </w:pPr>
    </w:p>
    <w:p>
      <w:pPr>
        <w:jc w:val="both"/>
        <w:ind w:firstLine="436"/>
        <w:spacing w:after="0" w:line="266" w:lineRule="auto"/>
        <w:tabs>
          <w:tab w:leader="none" w:pos="6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67" w:lineRule="exact"/>
        <w:rPr>
          <w:rFonts w:ascii="Times New Roman" w:cs="Times New Roman" w:eastAsia="Times New Roman" w:hAnsi="Times New Roman"/>
          <w:sz w:val="18"/>
          <w:szCs w:val="18"/>
          <w:color w:val="auto"/>
        </w:rPr>
      </w:pPr>
    </w:p>
    <w:p>
      <w:pPr>
        <w:ind w:right="140" w:firstLine="436"/>
        <w:spacing w:after="0" w:line="266" w:lineRule="auto"/>
        <w:tabs>
          <w:tab w:leader="none" w:pos="71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67" w:lineRule="exact"/>
        <w:rPr>
          <w:rFonts w:ascii="Times New Roman" w:cs="Times New Roman" w:eastAsia="Times New Roman" w:hAnsi="Times New Roman"/>
          <w:sz w:val="18"/>
          <w:szCs w:val="18"/>
          <w:color w:val="auto"/>
        </w:rPr>
      </w:pPr>
    </w:p>
    <w:p>
      <w:pPr>
        <w:ind w:right="160" w:firstLine="436"/>
        <w:spacing w:after="0" w:line="261" w:lineRule="auto"/>
        <w:tabs>
          <w:tab w:leader="none" w:pos="70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Submitted by:</w:t>
            </w:r>
          </w:p>
        </w:tc>
        <w:tc>
          <w:tcPr>
            <w:tcW w:w="5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Accepted by:</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9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TEAMSHARES INC.</w:t>
            </w:r>
          </w:p>
        </w:tc>
      </w:tr>
      <w:tr>
        <w:trPr>
          <w:trHeight w:val="432"/>
        </w:trPr>
        <w:tc>
          <w:tcPr>
            <w:tcW w:w="508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427"/>
        </w:trPr>
        <w:tc>
          <w:tcPr>
            <w:tcW w:w="5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60" w:type="dxa"/>
            <w:vAlign w:val="bottom"/>
            <w:gridSpan w:val="2"/>
          </w:tcPr>
          <w:p>
            <w:pPr>
              <w:spacing w:after="0"/>
              <w:rPr>
                <w:sz w:val="24"/>
                <w:szCs w:val="24"/>
                <w:color w:val="auto"/>
              </w:rPr>
            </w:pPr>
          </w:p>
        </w:tc>
      </w:tr>
      <w:tr>
        <w:trPr>
          <w:trHeight w:val="228"/>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427"/>
        </w:trPr>
        <w:tc>
          <w:tcPr>
            <w:tcW w:w="5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4"/>
                <w:szCs w:val="24"/>
                <w:color w:val="auto"/>
              </w:rPr>
            </w:pPr>
          </w:p>
        </w:tc>
      </w:tr>
      <w:tr>
        <w:trPr>
          <w:trHeight w:val="228"/>
        </w:trPr>
        <w:tc>
          <w:tcPr>
            <w:tcW w:w="5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2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98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r>
      <w:tr>
        <w:trPr>
          <w:trHeight w:val="432"/>
        </w:trPr>
        <w:tc>
          <w:tcPr>
            <w:tcW w:w="5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214 Sullivan Street 6B</w:t>
            </w:r>
          </w:p>
        </w:tc>
      </w:tr>
      <w:tr>
        <w:trPr>
          <w:trHeight w:val="20"/>
        </w:trPr>
        <w:tc>
          <w:tcPr>
            <w:tcW w:w="50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r>
      <w:tr>
        <w:trPr>
          <w:trHeight w:val="439"/>
        </w:trPr>
        <w:tc>
          <w:tcPr>
            <w:tcW w:w="5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10012</w:t>
            </w:r>
          </w:p>
        </w:tc>
      </w:tr>
      <w:tr>
        <w:trPr>
          <w:trHeight w:val="439"/>
        </w:trPr>
        <w:tc>
          <w:tcPr>
            <w:tcW w:w="508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top w:val="single" w:sz="8" w:color="auto"/>
              <w:bottom w:val="single" w:sz="8" w:color="auto"/>
            </w:tcBorders>
          </w:tcPr>
          <w:p>
            <w:pPr>
              <w:spacing w:after="0"/>
              <w:rPr>
                <w:sz w:val="24"/>
                <w:szCs w:val="24"/>
                <w:color w:val="auto"/>
              </w:rPr>
            </w:pPr>
          </w:p>
        </w:tc>
      </w:tr>
      <w:tr>
        <w:trPr>
          <w:trHeight w:val="228"/>
        </w:trPr>
        <w:tc>
          <w:tcPr>
            <w:tcW w:w="5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Date Received</w:t>
            </w:r>
          </w:p>
        </w:tc>
      </w:tr>
      <w:tr>
        <w:trPr>
          <w:trHeight w:val="360"/>
        </w:trPr>
        <w:tc>
          <w:tcPr>
            <w:tcW w:w="50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39" w:name="page140"/>
    <w:bookmarkEnd w:id="1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1540" w:type="dxa"/>
            <w:vAlign w:val="bottom"/>
          </w:tcPr>
          <w:p>
            <w:pPr>
              <w:spacing w:after="0"/>
              <w:rPr>
                <w:sz w:val="17"/>
                <w:szCs w:val="17"/>
                <w:color w:val="auto"/>
              </w:rPr>
            </w:pPr>
          </w:p>
        </w:tc>
      </w:tr>
      <w:tr>
        <w:trPr>
          <w:trHeight w:val="453"/>
        </w:trPr>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80" w:type="dxa"/>
            <w:vAlign w:val="bottom"/>
            <w:gridSpan w:val="3"/>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INVESTMENT REPRESENTATION STATEMENT</w:t>
            </w:r>
          </w:p>
        </w:tc>
      </w:tr>
      <w:tr>
        <w:trPr>
          <w:trHeight w:val="45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3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5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TEAMSHARES INC.</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3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5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CLASS A VOTING COMMON STOCK</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AMOUNT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purchase of the above-listed Securities, the undersigned Participant represents to the Company the following:</w:t>
      </w:r>
    </w:p>
    <w:p>
      <w:pPr>
        <w:spacing w:after="0" w:line="117" w:lineRule="exact"/>
        <w:rPr>
          <w:sz w:val="20"/>
          <w:szCs w:val="20"/>
          <w:color w:val="auto"/>
        </w:rPr>
      </w:pPr>
    </w:p>
    <w:p>
      <w:pPr>
        <w:jc w:val="both"/>
        <w:ind w:right="200" w:firstLine="436"/>
        <w:spacing w:after="0" w:line="261" w:lineRule="auto"/>
        <w:tabs>
          <w:tab w:leader="none" w:pos="6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7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80" w:lineRule="exact"/>
        <w:rPr>
          <w:rFonts w:ascii="Times New Roman" w:cs="Times New Roman" w:eastAsia="Times New Roman" w:hAnsi="Times New Roman"/>
          <w:sz w:val="18"/>
          <w:szCs w:val="18"/>
          <w:color w:val="auto"/>
        </w:rPr>
      </w:pPr>
    </w:p>
    <w:p>
      <w:pPr>
        <w:jc w:val="both"/>
        <w:ind w:right="80" w:firstLine="436"/>
        <w:spacing w:after="0" w:line="258" w:lineRule="auto"/>
        <w:tabs>
          <w:tab w:leader="none" w:pos="68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w:t>
      </w:r>
    </w:p>
    <w:p>
      <w:pPr>
        <w:sectPr>
          <w:pgSz w:w="11900" w:h="16838" w:orient="portrait"/>
          <w:cols w:equalWidth="0" w:num="1">
            <w:col w:w="11000"/>
          </w:cols>
          <w:pgMar w:left="440" w:top="256" w:right="459" w:bottom="1440" w:gutter="0" w:footer="0" w:header="0"/>
        </w:sectPr>
      </w:pPr>
    </w:p>
    <w:bookmarkStart w:id="140" w:name="page141"/>
    <w:bookmarkEnd w:id="140"/>
    <w:p>
      <w:pPr>
        <w:ind w:left="4" w:right="3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w:t>
      </w:r>
    </w:p>
    <w:p>
      <w:pPr>
        <w:spacing w:after="0" w:line="1" w:lineRule="exact"/>
        <w:rPr>
          <w:sz w:val="20"/>
          <w:szCs w:val="20"/>
          <w:color w:val="auto"/>
        </w:rPr>
      </w:pPr>
    </w:p>
    <w:p>
      <w:pPr>
        <w:ind w:left="4" w:right="20" w:hanging="4"/>
        <w:spacing w:after="0" w:line="255"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86" w:lineRule="exact"/>
        <w:rPr>
          <w:sz w:val="20"/>
          <w:szCs w:val="20"/>
          <w:color w:val="auto"/>
        </w:rPr>
      </w:pPr>
    </w:p>
    <w:p>
      <w:pPr>
        <w:ind w:left="4" w:right="180" w:firstLine="991"/>
        <w:spacing w:after="0" w:line="258" w:lineRule="auto"/>
        <w:rPr>
          <w:sz w:val="20"/>
          <w:szCs w:val="20"/>
          <w:color w:val="auto"/>
        </w:rPr>
      </w:pPr>
      <w:r>
        <w:rPr>
          <w:rFonts w:ascii="Times New Roman" w:cs="Times New Roman" w:eastAsia="Times New Roman" w:hAnsi="Times New Roman"/>
          <w:sz w:val="18"/>
          <w:szCs w:val="18"/>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75" w:lineRule="exact"/>
        <w:rPr>
          <w:sz w:val="20"/>
          <w:szCs w:val="20"/>
          <w:color w:val="auto"/>
        </w:rPr>
      </w:pPr>
    </w:p>
    <w:p>
      <w:pPr>
        <w:ind w:left="4" w:firstLine="436"/>
        <w:spacing w:after="0" w:line="255" w:lineRule="auto"/>
        <w:tabs>
          <w:tab w:leader="none" w:pos="69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2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TEAMSHARES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Michael:</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Teamshares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offer you continued employment on the following terms, effective upon the closing of the business combination contemplated by that certain Agreement and Plan of Merger among Live Oak Acquisition Corp. V, the Company and certain other parties, as amended (such agreement,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 will serve as the Company’s Chief Executive Officer, and you will report to the Company’s Board of Directors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such other individual as the Company may designate (subject to your right to resign with Good Reason, as described below). As a full-time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you will devote your full business time, attention, skill, and efforts to the tasks and duties of your position as assigned by the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while you render services to the Company, you will not engage in any other employment, consulting or other business activity (whether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or part-time) that would create a conflict of interest with the Company. By signing this letter agreement, you represent that you have no contractual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or other legal obligations that would prohibit you from performing your duties for the Company or that would violate any duty which you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have to any other person or entity (including a former employer).</w:t>
      </w:r>
    </w:p>
    <w:p>
      <w:pPr>
        <w:spacing w:after="0" w:line="203"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Your annual base salary will be $400,000, payable in accordance with the Company’s standard payroll schedule and pro-rated for any partial year of employment. Your salary will be reviewed periodically and may be increased (but not decreased) by the Company from time to time.</w:t>
      </w:r>
    </w:p>
    <w:p>
      <w:pPr>
        <w:spacing w:after="0" w:line="171" w:lineRule="exact"/>
        <w:rPr>
          <w:sz w:val="20"/>
          <w:szCs w:val="20"/>
          <w:color w:val="auto"/>
        </w:rPr>
      </w:pPr>
    </w:p>
    <w:p>
      <w:pPr>
        <w:ind w:right="20" w:firstLine="987"/>
        <w:spacing w:after="0" w:line="262" w:lineRule="auto"/>
        <w:tabs>
          <w:tab w:leader="none" w:pos="117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 Benefits</w:t>
      </w:r>
      <w:r>
        <w:rPr>
          <w:rFonts w:ascii="Times New Roman" w:cs="Times New Roman" w:eastAsia="Times New Roman" w:hAnsi="Times New Roman"/>
          <w:sz w:val="18"/>
          <w:szCs w:val="18"/>
          <w:color w:val="auto"/>
        </w:rPr>
        <w:t>. During your employment with the Company, you will be eligible to participate in all health, welfare, retirement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benefit and perquisite plans made available by the Company to its senior executives generally, as may be in effect from time to time. In addition, you will be eligible for paid time off, vacation and/or paid sick leave in accordance with applicable law and the applicable Company policy, as in effect from time to time.</w:t>
      </w:r>
    </w:p>
    <w:p>
      <w:pPr>
        <w:spacing w:after="0" w:line="176" w:lineRule="exact"/>
        <w:rPr>
          <w:rFonts w:ascii="Times New Roman" w:cs="Times New Roman" w:eastAsia="Times New Roman" w:hAnsi="Times New Roman"/>
          <w:sz w:val="18"/>
          <w:szCs w:val="18"/>
          <w:color w:val="auto"/>
        </w:rPr>
      </w:pPr>
    </w:p>
    <w:p>
      <w:pPr>
        <w:ind w:right="60" w:firstLine="987"/>
        <w:spacing w:after="0" w:line="259" w:lineRule="auto"/>
        <w:tabs>
          <w:tab w:leader="none" w:pos="117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Compensation</w:t>
      </w:r>
      <w:r>
        <w:rPr>
          <w:rFonts w:ascii="Times New Roman" w:cs="Times New Roman" w:eastAsia="Times New Roman" w:hAnsi="Times New Roman"/>
          <w:sz w:val="18"/>
          <w:szCs w:val="18"/>
          <w:color w:val="auto"/>
        </w:rPr>
        <w:t>. You will be eligible to receive an equity-based compensation award (any such award,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subject to your continued employment through the applicable grant date, and approval by the Board (or a subcommittee thereof). The Board will determine in its sole discretion the grant timing, amount, form, mix and other terms and conditions (including vesting, exercise and settlement) applicable to the Award based on its review of market compensation, and the Award will be governed by the Company’s 2026 Incentive Award Plan and evidenced by a separate award agreement in a form prescribed by the Company.</w:t>
      </w:r>
    </w:p>
    <w:p>
      <w:pPr>
        <w:spacing w:after="0" w:line="179" w:lineRule="exact"/>
        <w:rPr>
          <w:rFonts w:ascii="Times New Roman" w:cs="Times New Roman" w:eastAsia="Times New Roman" w:hAnsi="Times New Roman"/>
          <w:sz w:val="18"/>
          <w:szCs w:val="18"/>
          <w:color w:val="auto"/>
        </w:rPr>
      </w:pPr>
    </w:p>
    <w:p>
      <w:pPr>
        <w:ind w:right="20" w:firstLine="987"/>
        <w:spacing w:after="0" w:line="256" w:lineRule="auto"/>
        <w:tabs>
          <w:tab w:leader="none" w:pos="117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Restrictive Covenants</w:t>
      </w:r>
      <w:r>
        <w:rPr>
          <w:rFonts w:ascii="Times New Roman" w:cs="Times New Roman" w:eastAsia="Times New Roman" w:hAnsi="Times New Roman"/>
          <w:sz w:val="18"/>
          <w:szCs w:val="18"/>
          <w:color w:val="auto"/>
        </w:rPr>
        <w:t>. In connection with your employment with the Company, you have received and the Company will continue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you with access to confidential information. As a condition to your continued access to confidential information, by signing below, you acknowledge and agree to comply with the restrictive covenants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In addition, by signing below, you acknowledge that you previously agreed to certain covenants pursuant to an At-Will Employment, Confidential Information, Invention Assignment and Arbitration Agreement with the Company (the “</w:t>
      </w:r>
      <w:r>
        <w:rPr>
          <w:rFonts w:ascii="Times New Roman" w:cs="Times New Roman" w:eastAsia="Times New Roman" w:hAnsi="Times New Roman"/>
          <w:sz w:val="18"/>
          <w:szCs w:val="18"/>
          <w:u w:val="single" w:color="auto"/>
          <w:color w:val="auto"/>
        </w:rPr>
        <w:t>Confidential Information Agreement</w:t>
      </w:r>
      <w:r>
        <w:rPr>
          <w:rFonts w:ascii="Times New Roman" w:cs="Times New Roman" w:eastAsia="Times New Roman" w:hAnsi="Times New Roman"/>
          <w:sz w:val="18"/>
          <w:szCs w:val="18"/>
          <w:color w:val="auto"/>
        </w:rPr>
        <w:t xml:space="preserve">”) and you acknowledge and agree that those covenants remain in full force and effect in accordance with their terms and you will be bound by their terms and conditions. The restrictive covenants contained in the Confidential Information Agreement and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are collectively referred to herein as the “</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42" w:name="page143"/>
    <w:bookmarkEnd w:id="142"/>
    <w:p>
      <w:pPr>
        <w:ind w:left="-987" w:right="20" w:firstLine="987"/>
        <w:spacing w:after="0" w:line="253" w:lineRule="auto"/>
        <w:tabs>
          <w:tab w:leader="none" w:pos="18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Employment Relationship</w:t>
      </w:r>
      <w:r>
        <w:rPr>
          <w:rFonts w:ascii="Times New Roman" w:cs="Times New Roman" w:eastAsia="Times New Roman" w:hAnsi="Times New Roman"/>
          <w:sz w:val="18"/>
          <w:szCs w:val="18"/>
          <w:color w:val="auto"/>
        </w:rPr>
        <w:t>. Employment with the Company is for no specific period of time. Your employment with the Company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“at will,” meaning that either you or the Company may terminate your employment at any time and for any reason, with or without cause. Any contrary representations that may have been made to you are superseded by this letter agreement.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The Company shall initially pay each of the top three executives, you, Alex Eu and Kevin Shiiba (collectively, the “</w:t>
      </w:r>
      <w:r>
        <w:rPr>
          <w:rFonts w:ascii="Times New Roman" w:cs="Times New Roman" w:eastAsia="Times New Roman" w:hAnsi="Times New Roman"/>
          <w:sz w:val="18"/>
          <w:szCs w:val="18"/>
          <w:u w:val="single" w:color="auto"/>
          <w:color w:val="auto"/>
        </w:rPr>
        <w:t>Co-Founders</w:t>
      </w:r>
      <w:r>
        <w:rPr>
          <w:rFonts w:ascii="Times New Roman" w:cs="Times New Roman" w:eastAsia="Times New Roman" w:hAnsi="Times New Roman"/>
          <w:sz w:val="18"/>
          <w:szCs w:val="18"/>
          <w:color w:val="auto"/>
        </w:rPr>
        <w:t>”), the same base salary and provide each Co-Founder with an equivalent equity-based compensation award. Consistent with its compensation philosophy, it is the intent of the Board and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to pay each of the Co-Founders the same base salary and bonuses and provide each Co-Founder with equivalent equity-based compensation awards, when justified and permissible within the bounds of the Board’s or the Compensation Committee’s fiduciary duty. The Compensation Committee and the Board retain, however, the right to pay differing compensation to the Co-Founders based on its assessment of what best serves the interests of the Company and its shareholders. To that end, before paying any Co-Founder total compensation that is more than 10% of any of the others, the Company shall allow the Co-Founders to provide evidence and reasoning to the Compensation Committee as to why it should not pay the Co-Founders differing amounts of compensation and engage in a good faith discussion with Executives to reach a mutual agreement.</w:t>
      </w:r>
    </w:p>
    <w:p>
      <w:pPr>
        <w:spacing w:after="0" w:line="185" w:lineRule="exact"/>
        <w:rPr>
          <w:rFonts w:ascii="Times New Roman" w:cs="Times New Roman" w:eastAsia="Times New Roman" w:hAnsi="Times New Roman"/>
          <w:sz w:val="18"/>
          <w:szCs w:val="18"/>
          <w:color w:val="auto"/>
        </w:rPr>
      </w:pPr>
    </w:p>
    <w:p>
      <w:pPr>
        <w:ind w:left="173" w:hanging="173"/>
        <w:spacing w:after="0"/>
        <w:tabs>
          <w:tab w:leader="none" w:pos="17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87" w:firstLine="987"/>
        <w:spacing w:after="0" w:line="254" w:lineRule="auto"/>
        <w:tabs>
          <w:tab w:leader="none" w:pos="2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your employment with or without Cause, you may terminate your employment for Good Reason or without Good Reason, your employment will terminate upon your death, and your employment may be terminated by either you or the Company due to your disability. You and the Company agree to provide the other party with at least 30 days’ written notice of a termination of your employment without Good Reason or without Cause,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either case the Company may determine to terminate your employment prior to the conclusion of such 30-day period if it provides salary and benefits in lieu of notice. If the Company claims Cause for termination exists, it may place you on paid administrative leave and require you to be absent from the Company’s office and IT systems while it investigates the Cause condition(s);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during such leave, the Company must permit you to take reasonable action to cure the Cause condition.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Reason</w:t>
      </w:r>
      <w:r>
        <w:rPr>
          <w:rFonts w:ascii="Times New Roman" w:cs="Times New Roman" w:eastAsia="Times New Roman" w:hAnsi="Times New Roman"/>
          <w:sz w:val="18"/>
          <w:szCs w:val="18"/>
          <w:color w:val="auto"/>
        </w:rPr>
        <w:t xml:space="preserve">” will have the meanings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987" w:right="60" w:firstLine="987"/>
        <w:spacing w:after="0" w:line="254" w:lineRule="auto"/>
        <w:tabs>
          <w:tab w:leader="none" w:pos="2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entitled to participate in an executive severance plan to be adopted by the Company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which will provide that if your employment is terminated by the Company without Cause or by you for Good Reason, in either case, then you will be entitled to receive (i) continuation payments of six months of your then-current base salary, (ii) up to 12 months of Company-subsidized continued health care continuation, (iii) continued vesting of the service-vesting component of any Company equity awards held by you that otherwise would have vested during the 12-month period following your termination of employment (had you remained employed during such period) and (iv) with respect to any performance-based Company equity awards held by you that are outstanding as of your termination date, such awards will remain outstanding for the six-month period following your termination of employment and will be eligible to vest based on the achievement of applicable performance objectives during such six-month period. Notwithstanding the foregoing, the Severance Plan will provide that if either such termination occurs prior to the second anniversary of the closing of the Company’s deSPAC</w:t>
      </w:r>
    </w:p>
    <w:p>
      <w:pPr>
        <w:sectPr>
          <w:pgSz w:w="11900" w:h="16838" w:orient="portrait"/>
          <w:cols w:equalWidth="0" w:num="1">
            <w:col w:w="9993"/>
          </w:cols>
          <w:pgMar w:left="1427" w:top="266" w:right="479" w:bottom="1440" w:gutter="0" w:footer="0" w:header="0"/>
        </w:sectPr>
      </w:pPr>
    </w:p>
    <w:bookmarkStart w:id="143" w:name="page144"/>
    <w:bookmarkEnd w:id="14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then the continued vesting described in subclause (iii) and continued eligibility to vest described in subclause (iv) will continue until the later of such second anniversary and the 12-month anniversary of the termination of your employment. It will be a condition to your right to receive the foregoing severance payments and benefits that you comply with any applicable restrictive covenants, and that you execute and deliver an effective release of claims in a form prescribed by the Company (which release of claims shall not contain any post-employment restrictions broader than those you are subject to as of the date of your termination)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that becomes irrevocable within 30 days (or, to the extent required by law, 52 days) following the date of termination.</w:t>
      </w:r>
    </w:p>
    <w:p>
      <w:pPr>
        <w:spacing w:after="0" w:line="187" w:lineRule="exact"/>
        <w:rPr>
          <w:sz w:val="20"/>
          <w:szCs w:val="20"/>
          <w:color w:val="auto"/>
        </w:rPr>
      </w:pPr>
    </w:p>
    <w:p>
      <w:pPr>
        <w:ind w:firstLine="987"/>
        <w:spacing w:after="0" w:line="256"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Plan also will provide that if your employment is terminated (i) by the Company without Cause or by you for Good Reason, in either case, during the period starting six months prior to a Change in Control (as defined in the Company’s 2026 Incentive Award Plan) and ending on the two-year anniversary of the Change in Control (the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or (ii) due to your death or disability, in either case, then, subject to your timely execution and non-revocation of the Release, (A) the service-vesting component of any Company equity awards held by you will vest in full, and (B) the performance-vesting component of any Company equity awards held by you will remain outstanding for the Change in Control Period and will be eligible to vest based on the achievement of applicable performance objectives within the Change in Control Period.</w:t>
      </w:r>
    </w:p>
    <w:p>
      <w:pPr>
        <w:spacing w:after="0" w:line="187" w:lineRule="exact"/>
        <w:rPr>
          <w:rFonts w:ascii="Times New Roman" w:cs="Times New Roman" w:eastAsia="Times New Roman" w:hAnsi="Times New Roman"/>
          <w:sz w:val="18"/>
          <w:szCs w:val="18"/>
          <w:color w:val="auto"/>
        </w:rPr>
      </w:pPr>
    </w:p>
    <w:p>
      <w:pPr>
        <w:ind w:right="120" w:firstLine="987"/>
        <w:spacing w:after="0" w:line="255"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conflict between the provisions of this Section 7 and any provision of the Severance Plan, the Company’s 2026 Incentive Award Plan, any individual award agreement between you and the Company under the Company’s 2026 Incentive Award Plan, or any other Company plan or arrangement, in any case with respect to the separation-related terms contained herein, the terms of this Section 7 shall govern;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such plan or agreement provides for a separation-related term that is more favorable to you than the corresponding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this Section 7, such more favorable term shall govern. For the avoidance of doubt, any non-conflicting provisions of such plans or agreements that are not addressed in this Section 7 shall remain in full force and effect and shall supplement (rather than conflict with) the terms of this Section 7.</w:t>
      </w:r>
    </w:p>
    <w:p>
      <w:pPr>
        <w:spacing w:after="0" w:line="185" w:lineRule="exact"/>
        <w:rPr>
          <w:sz w:val="20"/>
          <w:szCs w:val="20"/>
          <w:color w:val="auto"/>
        </w:rPr>
      </w:pPr>
    </w:p>
    <w:p>
      <w:pPr>
        <w:ind w:right="120" w:firstLine="987"/>
        <w:spacing w:after="0" w:line="259" w:lineRule="auto"/>
        <w:tabs>
          <w:tab w:leader="none" w:pos="117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D&amp;O; Indemnification</w:t>
      </w:r>
      <w:r>
        <w:rPr>
          <w:rFonts w:ascii="Times New Roman" w:cs="Times New Roman" w:eastAsia="Times New Roman" w:hAnsi="Times New Roman"/>
          <w:sz w:val="18"/>
          <w:szCs w:val="18"/>
          <w:color w:val="auto"/>
        </w:rPr>
        <w:t>. The Company will indemnify you to the fullest extent permitted by applicable law in the event that you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are a party, or are threatened to be made a party to any threatened, pending or completed action, suit or proceeding, by reason of the fact that you are or were a director, officer, employee or agent of the Company or any of its affiliates, whether or not the claim is asserted during the term of this letter agreement. You will be covered under any directors’ and officers’ insurance that the Company maintains for its directors and other officers in the same manner and on the same basis as the Company’s directors and other officers.</w:t>
      </w:r>
    </w:p>
    <w:p>
      <w:pPr>
        <w:spacing w:after="0" w:line="17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p>
    <w:p>
      <w:pPr>
        <w:spacing w:after="0" w:line="227" w:lineRule="exact"/>
        <w:rPr>
          <w:sz w:val="20"/>
          <w:szCs w:val="20"/>
          <w:color w:val="auto"/>
        </w:rPr>
      </w:pPr>
    </w:p>
    <w:p>
      <w:pPr>
        <w:ind w:right="360" w:firstLine="987"/>
        <w:spacing w:after="0" w:line="267"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All payments to you under this letter agreement will be subject to any required withholding of federal,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pursuant to any applicable law or regulation and the Company and its affiliates are entitled to withhold any and all such taxes from amounts payable under this letter agreement.</w:t>
      </w:r>
    </w:p>
    <w:p>
      <w:pPr>
        <w:spacing w:after="0" w:line="173" w:lineRule="exact"/>
        <w:rPr>
          <w:rFonts w:ascii="Times New Roman" w:cs="Times New Roman" w:eastAsia="Times New Roman" w:hAnsi="Times New Roman"/>
          <w:sz w:val="18"/>
          <w:szCs w:val="18"/>
          <w:color w:val="auto"/>
        </w:rPr>
      </w:pPr>
    </w:p>
    <w:p>
      <w:pPr>
        <w:ind w:right="320" w:firstLine="987"/>
        <w:spacing w:after="0" w:line="267"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Advice</w:t>
      </w:r>
      <w:r>
        <w:rPr>
          <w:rFonts w:ascii="Times New Roman" w:cs="Times New Roman" w:eastAsia="Times New Roman" w:hAnsi="Times New Roman"/>
          <w:sz w:val="18"/>
          <w:szCs w:val="18"/>
          <w:color w:val="auto"/>
        </w:rPr>
        <w:t>. You are encouraged to obtain your own tax advice regarding your compensation from the Company. You agree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does not have a duty to design its compensation policies in a manner that minimizes your tax liabilities, and you will not make any claim against the Company or the Board related to tax liabilities arising from your compensation.</w:t>
      </w:r>
    </w:p>
    <w:p>
      <w:pPr>
        <w:sectPr>
          <w:pgSz w:w="11900" w:h="16838" w:orient="portrait"/>
          <w:cols w:equalWidth="0" w:num="1">
            <w:col w:w="11000"/>
          </w:cols>
          <w:pgMar w:left="440" w:top="270" w:right="459" w:bottom="1440" w:gutter="0" w:footer="0" w:header="0"/>
        </w:sectPr>
      </w:pPr>
    </w:p>
    <w:bookmarkStart w:id="144" w:name="page145"/>
    <w:bookmarkEnd w:id="144"/>
    <w:p>
      <w:pPr>
        <w:ind w:left="-987" w:firstLine="987"/>
        <w:spacing w:after="0" w:line="254" w:lineRule="auto"/>
        <w:tabs>
          <w:tab w:leader="none" w:pos="24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Times New Roman" w:cs="Times New Roman" w:eastAsia="Times New Roman" w:hAnsi="Times New Roman"/>
          <w:sz w:val="18"/>
          <w:szCs w:val="18"/>
          <w:color w:val="auto"/>
        </w:rPr>
        <w:t>. To the extent applicable, this letter agreement shall be interpreted in accordance with Section 409A of the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Department of Treasury regulations and other guidance issued thereunder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to the contrary in this letter agreement, no compensation or benefits will be paid to you during the six-month period following your “separation from service” with the Company (within the meaning of Section 409A) if the Company determines that paying such amounts at the time or times indicated in this letter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resulting in a prohibited distribution, including as a result of your death), the Company will pay you a lump-sum amount equal to the cumulative amount that would have otherwise been payable to you during such period (without interest).</w:t>
      </w:r>
    </w:p>
    <w:p>
      <w:pPr>
        <w:spacing w:after="0" w:line="186" w:lineRule="exact"/>
        <w:rPr>
          <w:sz w:val="20"/>
          <w:szCs w:val="20"/>
          <w:color w:val="auto"/>
        </w:rPr>
      </w:pPr>
    </w:p>
    <w:p>
      <w:pPr>
        <w:ind w:left="-987" w:right="40" w:firstLine="987"/>
        <w:spacing w:after="0" w:line="256" w:lineRule="auto"/>
        <w:tabs>
          <w:tab w:leader="none" w:pos="27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 and Amendment</w:t>
      </w:r>
      <w:r>
        <w:rPr>
          <w:rFonts w:ascii="Times New Roman" w:cs="Times New Roman" w:eastAsia="Times New Roman" w:hAnsi="Times New Roman"/>
          <w:sz w:val="18"/>
          <w:szCs w:val="18"/>
          <w:color w:val="auto"/>
        </w:rPr>
        <w:t>. This letter agreement constitutes the complete agreement between you and the Company, contains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of the terms of your employment with the Company and, effective as of the Effective Date, supersedes any prior offers, agreements, representations or understandings (whether written, oral or implied) with respect to the subject matter hereof (including, without limitation, any offer letter between you and the Company, which is hereby terminated effective as of the Effective Date, but excluding the Confidential Information Agreement). Except as set forth in Section 4 of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this letter agreement may not be amended or modified, except by an express written agreement signed by both you and a duly authorized officer of the Company (other than you). This letter agreement shall terminate automatically upon the termination of the Merger Agreement prior to the consummation of the closing of the business combination described therein.</w:t>
      </w:r>
    </w:p>
    <w:p>
      <w:pPr>
        <w:spacing w:after="0" w:line="182" w:lineRule="exact"/>
        <w:rPr>
          <w:rFonts w:ascii="Times New Roman" w:cs="Times New Roman" w:eastAsia="Times New Roman" w:hAnsi="Times New Roman"/>
          <w:sz w:val="18"/>
          <w:szCs w:val="18"/>
          <w:color w:val="auto"/>
        </w:rPr>
      </w:pPr>
    </w:p>
    <w:p>
      <w:pPr>
        <w:ind w:left="-987" w:right="20" w:firstLine="987"/>
        <w:spacing w:after="0" w:line="256" w:lineRule="auto"/>
        <w:tabs>
          <w:tab w:leader="none" w:pos="26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Agreement is personal to you and, without the prior written consent of the Company, shall not be assignable by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by will or the laws of descent and distribution. This Agreement shall be binding upon and inure to the benefit of (1) your heirs, executors, and legal representatives and (2) any successor of the Company, whether by merger, acquisition, or otherwise. The Company shall require any such successor to expressly assume and agree to perform the Company’s obligations under this Agreement as a condition to any such succession. Notwithstanding the generality of the foregoing, upon the closing of the business combination described in the Merger Agreement, this Agreement automatically shall be assigned, without the consent of the parties hereto, to the ultimate parent entity of the Company or its successor (such ultimate parent entity,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xml:space="preserve">”) and references to the Company herein (including the restrictive covenants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shall mean Pubco.</w:t>
      </w:r>
    </w:p>
    <w:p>
      <w:pPr>
        <w:spacing w:after="0" w:line="182" w:lineRule="exact"/>
        <w:rPr>
          <w:rFonts w:ascii="Times New Roman" w:cs="Times New Roman" w:eastAsia="Times New Roman" w:hAnsi="Times New Roman"/>
          <w:sz w:val="18"/>
          <w:szCs w:val="18"/>
          <w:color w:val="auto"/>
        </w:rPr>
      </w:pPr>
    </w:p>
    <w:p>
      <w:pPr>
        <w:ind w:left="-987" w:right="60" w:firstLine="987"/>
        <w:spacing w:after="0" w:line="254" w:lineRule="auto"/>
        <w:tabs>
          <w:tab w:leader="none" w:pos="27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terms of this letter agreement and the resolution of any disputes as to the meaning, effect, performance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of this letter agreement or arising out of, related to, or in any way connected with, this letter agreement, your employment with the Company or any other relationship between you and the Company (the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will be governed by New York law, excluding laws relating to conflicts or choice of law. You and the Company submit to the exclusive personal jurisdiction of the federal and state courts located in New York in connection with any Dispute or any claim related to any Dispute. You acknowledge that you have been advised by the Company to consult with, and seek the advice of, a personal attorney of your choice prior to executing this letter agreement in connection with the negotiation, drafting and execution of this letter agreement, including, without limitation, the choice of law provision contained in this Section 11 and the Restrictive Covenants. You represent and warrant that you have, in fact, retained a personal attorney for such purpose and have received the advice of such attorney with respect to each of the terms and the negotiation of this letter agreement, prior to entering into this letter agreement and including, without limitation, with respect to the covenants and provisions noted in the preceding sentence.</w:t>
      </w:r>
    </w:p>
    <w:p>
      <w:pPr>
        <w:spacing w:after="0" w:line="189" w:lineRule="exact"/>
        <w:rPr>
          <w:rFonts w:ascii="Times New Roman" w:cs="Times New Roman" w:eastAsia="Times New Roman" w:hAnsi="Times New Roman"/>
          <w:sz w:val="18"/>
          <w:szCs w:val="18"/>
          <w:color w:val="auto"/>
        </w:rPr>
      </w:pPr>
    </w:p>
    <w:p>
      <w:pPr>
        <w:ind w:left="41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ectPr>
          <w:pgSz w:w="11900" w:h="16838" w:orient="portrait"/>
          <w:cols w:equalWidth="0" w:num="1">
            <w:col w:w="10013"/>
          </w:cols>
          <w:pgMar w:left="1427" w:top="268" w:right="459" w:bottom="1440" w:gutter="0" w:footer="0" w:header="0"/>
        </w:sectPr>
      </w:pPr>
    </w:p>
    <w:bookmarkStart w:id="145" w:name="page146"/>
    <w:bookmarkEnd w:id="14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have any questions, please feel free to reach out.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TEAMSHARES INC.</w:t>
      </w:r>
    </w:p>
    <w:p>
      <w:pPr>
        <w:spacing w:after="0" w:line="221"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Brian Gaebe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and accept this employment letter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2853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Michael Brown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-5080</wp:posOffset>
            </wp:positionV>
            <wp:extent cx="19424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ind w:left="-20" w:firstLine="987"/>
        <w:spacing w:after="0" w:line="253" w:lineRule="auto"/>
        <w:tabs>
          <w:tab w:leader="none" w:pos="121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 your unauthorized use or disclosure of confidential information or trade secrets of the Company or any of its subsidiaries or any material breach of a written agreement between you and the Company or any of its subsidiaries, including without limitation a material breach of any employment, confidentiality, non-compete, non-solicit or similar agreement, (ii) your conviction of or the entry of a plea of guilty or nolo contendere by you to, a felony under the laws of the United States or any state thereof or any crime involving dishonesty or moral turpitude (or any similar crime in any jurisdiction outside the United States), (iii) your negligence or willful misconduct in the performance of your duties or your willful or repeated failure or refusal to substantially perform assigned duties, (iv) any act of fraud, embezzlement, material misappropriation or dishonesty committed by you against the Company or any of its subsidiaries or (v) any acts, omissions or statements by you which the Company determines to be materially detrimental or damaging to the reputation, operations, prospects or business relations of the Company or any of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Cause will exist until the Company has provided you with written notice detailing such Cause actions or violations and, if such Cause actions or violations are susceptible of cure, provide you with at least 20 days to cure such Cause actions or violations. The findings and decision of the Board with respect to any Cause determination will be final and binding for all purposes.</w:t>
      </w:r>
    </w:p>
    <w:p>
      <w:pPr>
        <w:spacing w:after="0" w:line="191"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any one or more of the following events without your prior written consent, unless the Company fully corrects the circumstances constituting Good Reason (provided such circumstances are capable of correction) as provided below: (i) a diminution in your annual base salary, (ii) a material diminution in your title, authorities, duties and/or responsibilities, (iii) a change in your reporting structure, such that you no longer report directly to the Board, (iv) a change in the geographic location of your principal work location by more than 15 miles from its location as of the Effective Date by action of the Company or (v) the Company’s material breach of this letter agreement or any individual award agreement between you and the Company under the Company’s 2026 Incentive Award Plan. Notwithstanding the foregoing, you will not be deemed to have resigned for Good Reason unless (1) you provide the Company with written notice setting forth in reasonable detail the facts and circumstances claimed by you to constitute Good Reason within 90 days after the date of the occurrence of any event that you know or should reasonably have known to constitute Good Reason, (2) the Company fails to cure such acts or omissions within 30 days following its receipt of such notice, and (3) the effective date of your termination for Good Reason occurs no later than seven days after the expiration of the Company’s cure period.</w:t>
      </w:r>
    </w:p>
    <w:p>
      <w:pPr>
        <w:sectPr>
          <w:pgSz w:w="11900" w:h="16838" w:orient="portrait"/>
          <w:cols w:equalWidth="0" w:num="1">
            <w:col w:w="10960"/>
          </w:cols>
          <w:pgMar w:left="460" w:top="266" w:right="479" w:bottom="1440" w:gutter="0" w:footer="0" w:header="0"/>
        </w:sectPr>
      </w:pPr>
    </w:p>
    <w:bookmarkStart w:id="148" w:name="page149"/>
    <w:bookmarkEnd w:id="148"/>
    <w:p>
      <w:pPr>
        <w:ind w:left="10000"/>
        <w:spacing w:after="0"/>
        <w:rPr>
          <w:sz w:val="20"/>
          <w:szCs w:val="20"/>
          <w:color w:val="auto"/>
        </w:rPr>
      </w:pPr>
      <w:r>
        <w:rPr>
          <w:rFonts w:ascii="Times New Roman" w:cs="Times New Roman" w:eastAsia="Times New Roman" w:hAnsi="Times New Roman"/>
          <w:sz w:val="17"/>
          <w:szCs w:val="17"/>
          <w:b w:val="1"/>
          <w:bCs w:val="1"/>
          <w:color w:val="auto"/>
        </w:rPr>
        <w:t>Exhibit 10.15</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TEAMSHARES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Brian:</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Teamshares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offer you continued employment on the following terms, effective upon the closing of the business combination contemplated by that certain Agreement and Plan of Merger among Live Oak Acquisition Corp. V, the Company and certain other parties, as amended (such agreement,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firstLine="987"/>
        <w:spacing w:after="0" w:line="256" w:lineRule="auto"/>
        <w:tabs>
          <w:tab w:leader="none" w:pos="117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 will serve as the Company’s Chief Financial Officer, and you will report to the Company’s Chief Executive Officer,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individual as the Company may designate (subject to your right to resign with Good Reason, as described below). As a full-time employee, you will devote your full business time, attention, skill, and efforts to the tasks and duties of your position as assigned by the Company. In addition, while you render services to the Company, you will not engage in any other employment, consulting or other business activity (whether full-time or part-time) that would create a conflict of interest with the Company. By signing this letter agreement, you represent that you have no contractual commitments or other legal obligations that would prohibit you from performing your duties for the Company or that would violate any duty which you may have to any other person or entity (including a former employer).</w:t>
      </w:r>
    </w:p>
    <w:p>
      <w:pPr>
        <w:spacing w:after="0" w:line="182"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Your annual base salary will be $400,000, payable in accordance with the Company’s standard payroll schedule and</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pro-rated for any partial year of employment. Your salary will be reviewed periodically and may be increased (but not decreased) by the Company from time to time.</w:t>
      </w:r>
    </w:p>
    <w:p>
      <w:pPr>
        <w:spacing w:after="0" w:line="177" w:lineRule="exact"/>
        <w:rPr>
          <w:sz w:val="20"/>
          <w:szCs w:val="20"/>
          <w:color w:val="auto"/>
        </w:rPr>
      </w:pPr>
    </w:p>
    <w:p>
      <w:pPr>
        <w:ind w:right="20" w:firstLine="987"/>
        <w:spacing w:after="0" w:line="262" w:lineRule="auto"/>
        <w:tabs>
          <w:tab w:leader="none" w:pos="11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 Benefits</w:t>
      </w:r>
      <w:r>
        <w:rPr>
          <w:rFonts w:ascii="Times New Roman" w:cs="Times New Roman" w:eastAsia="Times New Roman" w:hAnsi="Times New Roman"/>
          <w:sz w:val="18"/>
          <w:szCs w:val="18"/>
          <w:color w:val="auto"/>
        </w:rPr>
        <w:t>. During your employment with the Company, you will be eligible to participate in all health, welfare, retirement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benefit and perquisite plans made available by the Company to its senior executives generally, as may be in effect from time to time. In addition, you will be eligible for paid time off, vacation and/or paid sick leave in accordance with applicable law and the applicable Company policy, as in effect from time to time.</w:t>
      </w:r>
    </w:p>
    <w:p>
      <w:pPr>
        <w:spacing w:after="0" w:line="176" w:lineRule="exact"/>
        <w:rPr>
          <w:rFonts w:ascii="Times New Roman" w:cs="Times New Roman" w:eastAsia="Times New Roman" w:hAnsi="Times New Roman"/>
          <w:sz w:val="18"/>
          <w:szCs w:val="18"/>
          <w:color w:val="auto"/>
        </w:rPr>
      </w:pPr>
    </w:p>
    <w:p>
      <w:pPr>
        <w:ind w:right="60" w:firstLine="987"/>
        <w:spacing w:after="0" w:line="259" w:lineRule="auto"/>
        <w:tabs>
          <w:tab w:leader="none" w:pos="11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Compensation</w:t>
      </w:r>
      <w:r>
        <w:rPr>
          <w:rFonts w:ascii="Times New Roman" w:cs="Times New Roman" w:eastAsia="Times New Roman" w:hAnsi="Times New Roman"/>
          <w:sz w:val="18"/>
          <w:szCs w:val="18"/>
          <w:color w:val="auto"/>
        </w:rPr>
        <w:t>. You will be eligible to receive an equity-based compensation award (any such award,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subject to your continued employment through the applicable grant date, and approval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a subcommittee thereof). The Board will determine in its sole discretion the grant timing, amount, form, mix and other terms and conditions (including vesting, exercise and settlement) applicable to the Award based on its review of market compensation, and the Award will be governed by the Company’s 2026 Incentive Award Plan and evidenced by a separate award agreement in a form prescribed by the Company.</w:t>
      </w:r>
    </w:p>
    <w:p>
      <w:pPr>
        <w:spacing w:after="0" w:line="179" w:lineRule="exact"/>
        <w:rPr>
          <w:rFonts w:ascii="Times New Roman" w:cs="Times New Roman" w:eastAsia="Times New Roman" w:hAnsi="Times New Roman"/>
          <w:sz w:val="18"/>
          <w:szCs w:val="18"/>
          <w:color w:val="auto"/>
        </w:rPr>
      </w:pPr>
    </w:p>
    <w:p>
      <w:pPr>
        <w:ind w:right="160" w:firstLine="987"/>
        <w:spacing w:after="0" w:line="262" w:lineRule="auto"/>
        <w:tabs>
          <w:tab w:leader="none" w:pos="11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Restrictive Covenants</w:t>
      </w:r>
      <w:r>
        <w:rPr>
          <w:rFonts w:ascii="Times New Roman" w:cs="Times New Roman" w:eastAsia="Times New Roman" w:hAnsi="Times New Roman"/>
          <w:sz w:val="18"/>
          <w:szCs w:val="18"/>
          <w:color w:val="auto"/>
        </w:rPr>
        <w:t>. In connection with your employment with the Company, you have received and the Company will continue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you with access to confidential information. As a condition to your continued access to confidential information, and your continued employment with the Company and your receipt of the Award, by signing below, you acknowledge and agree to comply with the restrictive covenants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In addition, by signing below, you</w:t>
      </w:r>
    </w:p>
    <w:p>
      <w:pPr>
        <w:sectPr>
          <w:pgSz w:w="11900" w:h="16838" w:orient="portrait"/>
          <w:cols w:equalWidth="0" w:num="1">
            <w:col w:w="11020"/>
          </w:cols>
          <w:pgMar w:left="440" w:top="117" w:right="439" w:bottom="1440" w:gutter="0" w:footer="0" w:header="0"/>
        </w:sectPr>
      </w:pPr>
    </w:p>
    <w:bookmarkStart w:id="149" w:name="page150"/>
    <w:bookmarkEnd w:id="149"/>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acknowledge that you previously agreed to certain covenants pursuant to an At-Will Employment, Confidential Information, Invention Assignment and Arbitration Agreement with the Company (the “</w:t>
      </w:r>
      <w:r>
        <w:rPr>
          <w:rFonts w:ascii="Times New Roman" w:cs="Times New Roman" w:eastAsia="Times New Roman" w:hAnsi="Times New Roman"/>
          <w:sz w:val="18"/>
          <w:szCs w:val="18"/>
          <w:u w:val="single" w:color="auto"/>
          <w:color w:val="auto"/>
        </w:rPr>
        <w:t>Confidential Information Agreement</w:t>
      </w:r>
      <w:r>
        <w:rPr>
          <w:rFonts w:ascii="Times New Roman" w:cs="Times New Roman" w:eastAsia="Times New Roman" w:hAnsi="Times New Roman"/>
          <w:sz w:val="18"/>
          <w:szCs w:val="18"/>
          <w:color w:val="auto"/>
        </w:rPr>
        <w:t xml:space="preserve">”) and you acknowledge and agree that those covenants remain in full force and effect in accordance with their terms and you will be bound by their terms and conditions. The restrictive covenants contained in the Confidential Information Agreement and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are collectively referred to herein as the “</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987"/>
        <w:spacing w:after="0" w:line="259" w:lineRule="auto"/>
        <w:tabs>
          <w:tab w:leader="none" w:pos="117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Relationship</w:t>
      </w:r>
      <w:r>
        <w:rPr>
          <w:rFonts w:ascii="Times New Roman" w:cs="Times New Roman" w:eastAsia="Times New Roman" w:hAnsi="Times New Roman"/>
          <w:sz w:val="18"/>
          <w:szCs w:val="18"/>
          <w:color w:val="auto"/>
        </w:rPr>
        <w:t>. Employment with the Company is for no specific period of time. Your employment with the Company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“at will,” meaning that either you or the Company may terminate your employment at any time and for any reason, with or without cause. Any contrary representations that may have been made to you are superseded by this letter agreement.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54" w:lineRule="auto"/>
        <w:tabs>
          <w:tab w:leader="none" w:pos="12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your employment with or without Cause, you may terminate your employment for Good Reason or without Good Reason, your employment will terminate upon your death, and your employment may be terminated by either you or the Company due to your disability. You and the Company agree to provide the other party with at least 30 days’ written notice of a termination of your employment without Good Reason or without Cause,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either case the Company may determine to terminate your employment prior to the conclusion of such 30-day period if it provides salary and benefits in lieu of notice. If the Company claims Cause for termination exists, it may place you on paid administrative leave and require you to be absent from the Company’s office and IT systems while it investigates the Cause condition(s);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during such leave, the Company must permit you to take reasonable action to cure the Cause condition.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Reason</w:t>
      </w:r>
      <w:r>
        <w:rPr>
          <w:rFonts w:ascii="Times New Roman" w:cs="Times New Roman" w:eastAsia="Times New Roman" w:hAnsi="Times New Roman"/>
          <w:sz w:val="18"/>
          <w:szCs w:val="18"/>
          <w:color w:val="auto"/>
        </w:rPr>
        <w:t xml:space="preserve">” will have the meanings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entitled to participate in an executive severance plan to be adopted by the Company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which will provide that if your employment is terminated by the Company without Cause or by you for Good Reason, in either case, then you will be entitled to receive (i) continuation payments of six months of your then-current base salary, (ii) up to 12 months of Company-subsidized continued health care continuation, (iii) continued vesting of the service-vesting component of any Company equity awards held by you that otherwise would have vested during the 12-month period following your termination of employment (had you remained employed during such period) and (iv) with respect to any performance-based Company equity awards held by you that are outstanding as of your termination date, such awards will remain outstanding for the six-month period following your termination of employment and will be eligible to vest based on the achievement of applicable performance objectives during such six-month period. Notwithstanding the foregoing, the Severance Plan will provide that if either such termination occurs prior to the second anniversary of the closing of the Company’s deSPAC transaction then the continued vesting described in subclause (iii) and continued eligibility to vest described in subclause (iv) will continue until the later of such second anniversary and the 12-month anniversary of the termination of your employment. It will be a condition to your right to receive the foregoing severance payments and benefits that you comply with any applicable restrictive covenants, and that you execute and deliver an effective release of claims in a form prescribed by the Company (which release of claims shall not contain any post-employment restrictions broader than those you are subject to as of the date of your termination)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that becomes irrevocable within 30 days (or, to the extent required by law, 52 days) following the date of termination.</w:t>
      </w:r>
    </w:p>
    <w:p>
      <w:pPr>
        <w:sectPr>
          <w:pgSz w:w="11900" w:h="16838" w:orient="portrait"/>
          <w:cols w:equalWidth="0" w:num="1">
            <w:col w:w="11000"/>
          </w:cols>
          <w:pgMar w:left="440" w:top="270" w:right="459" w:bottom="1440" w:gutter="0" w:footer="0" w:header="0"/>
        </w:sectPr>
      </w:pPr>
    </w:p>
    <w:bookmarkStart w:id="150" w:name="page151"/>
    <w:bookmarkEnd w:id="150"/>
    <w:p>
      <w:pPr>
        <w:ind w:left="-987" w:firstLine="987"/>
        <w:spacing w:after="0" w:line="256" w:lineRule="auto"/>
        <w:tabs>
          <w:tab w:leader="none" w:pos="24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Severance Plan also will provide that if your employment is terminated (i) by the Company without Cause or by you for Good Reason, in either case, during the period starting six months prior to a Change in Control (as defined in the Company’s 2026 Incentive Award Plan) and ending on the two-year anniversary of the Change in Control (the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or (ii) due to your death or disability, in either case, then, subject to your timely execution and non-revocation of the Release, (A) the service-vesting component of any Company equity awards held by you will vest in full, and (B) the performance-vesting component of any Company equity awards held by you will remain outstanding for the Change in Control Period and will be eligible to vest based on the achievement of applicable performance objectives within the Change in Control Period.</w:t>
      </w:r>
    </w:p>
    <w:p>
      <w:pPr>
        <w:spacing w:after="0" w:line="187" w:lineRule="exact"/>
        <w:rPr>
          <w:rFonts w:ascii="Times New Roman" w:cs="Times New Roman" w:eastAsia="Times New Roman" w:hAnsi="Times New Roman"/>
          <w:sz w:val="18"/>
          <w:szCs w:val="18"/>
          <w:color w:val="auto"/>
        </w:rPr>
      </w:pPr>
    </w:p>
    <w:p>
      <w:pPr>
        <w:ind w:left="-987" w:right="120" w:firstLine="987"/>
        <w:spacing w:after="0" w:line="255" w:lineRule="auto"/>
        <w:tabs>
          <w:tab w:leader="none" w:pos="2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conflict between the provisions of this Section 7 and any provision of the Severance Plan, the Company’s 2026 Incentive Award Plan, any individual award agreement between you and the Company under the Company’s 2026 Incentive Award Plan, or any other Company plan or arrangement, in any case with respect to the separation-related terms contained herein, the terms of this Section 7 shall govern;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such plan or agreement provides for a separation-related term that is more favorable to you than the corresponding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this Section 7, such more favorable term shall govern. For the avoidance of doubt, any non-conflicting provisions of such plans or agreements that are not addressed in this Section 7 shall remain in full force and effect and shall supplement (rather than conflict with) the terms of this Section 7.</w:t>
      </w:r>
    </w:p>
    <w:p>
      <w:pPr>
        <w:spacing w:after="0" w:line="185" w:lineRule="exact"/>
        <w:rPr>
          <w:sz w:val="20"/>
          <w:szCs w:val="20"/>
          <w:color w:val="auto"/>
        </w:rPr>
      </w:pPr>
    </w:p>
    <w:p>
      <w:pPr>
        <w:ind w:left="-987" w:right="120" w:firstLine="987"/>
        <w:spacing w:after="0" w:line="259" w:lineRule="auto"/>
        <w:tabs>
          <w:tab w:leader="none" w:pos="1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D&amp;O; Indemnification</w:t>
      </w:r>
      <w:r>
        <w:rPr>
          <w:rFonts w:ascii="Times New Roman" w:cs="Times New Roman" w:eastAsia="Times New Roman" w:hAnsi="Times New Roman"/>
          <w:sz w:val="18"/>
          <w:szCs w:val="18"/>
          <w:color w:val="auto"/>
        </w:rPr>
        <w:t>. The Company will indemnify you to the fullest extent permitted by applicable law in the event that you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are a party, or are threatened to be made a party to any threatened, pending or completed action, suit or proceeding, by reason of the fact that you are or were a director, officer, employee or agent of the Company or any of its affiliates, whether or not the claim is asserted during the term of this letter agreement. You will be covered under any directors’ and officers’ insurance that the Company maintains for its directors and other officers in the same manner and on the same basis as the Company’s directors and other officers.</w:t>
      </w:r>
    </w:p>
    <w:p>
      <w:pPr>
        <w:spacing w:after="0" w:line="179" w:lineRule="exact"/>
        <w:rPr>
          <w:rFonts w:ascii="Times New Roman" w:cs="Times New Roman" w:eastAsia="Times New Roman" w:hAnsi="Times New Roman"/>
          <w:sz w:val="18"/>
          <w:szCs w:val="18"/>
          <w:color w:val="auto"/>
        </w:rPr>
      </w:pPr>
    </w:p>
    <w:p>
      <w:pPr>
        <w:ind w:left="173" w:hanging="173"/>
        <w:spacing w:after="0"/>
        <w:tabs>
          <w:tab w:leader="none" w:pos="17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p>
    <w:p>
      <w:pPr>
        <w:spacing w:after="0" w:line="227" w:lineRule="exact"/>
        <w:rPr>
          <w:sz w:val="20"/>
          <w:szCs w:val="20"/>
          <w:color w:val="auto"/>
        </w:rPr>
      </w:pPr>
    </w:p>
    <w:p>
      <w:pPr>
        <w:ind w:left="-987" w:right="360" w:firstLine="987"/>
        <w:spacing w:after="0" w:line="267" w:lineRule="auto"/>
        <w:tabs>
          <w:tab w:leader="none" w:pos="24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All payments to you under this letter agreement will be subject to any required withholding of federal,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pursuant to any applicable law or regulation and the Company and its affiliates are entitled to withhold any and all such taxes from amounts payable under this letter agreement.</w:t>
      </w:r>
    </w:p>
    <w:p>
      <w:pPr>
        <w:spacing w:after="0" w:line="173" w:lineRule="exact"/>
        <w:rPr>
          <w:rFonts w:ascii="Times New Roman" w:cs="Times New Roman" w:eastAsia="Times New Roman" w:hAnsi="Times New Roman"/>
          <w:sz w:val="18"/>
          <w:szCs w:val="18"/>
          <w:color w:val="auto"/>
        </w:rPr>
      </w:pPr>
    </w:p>
    <w:p>
      <w:pPr>
        <w:ind w:left="-987" w:right="320" w:firstLine="987"/>
        <w:spacing w:after="0" w:line="267" w:lineRule="auto"/>
        <w:tabs>
          <w:tab w:leader="none" w:pos="25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Advice</w:t>
      </w:r>
      <w:r>
        <w:rPr>
          <w:rFonts w:ascii="Times New Roman" w:cs="Times New Roman" w:eastAsia="Times New Roman" w:hAnsi="Times New Roman"/>
          <w:sz w:val="18"/>
          <w:szCs w:val="18"/>
          <w:color w:val="auto"/>
        </w:rPr>
        <w:t>. You are encouraged to obtain your own tax advice regarding your compensation from the Company. You agree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does not have a duty to design its compensation policies in a manner that minimizes your tax liabilities, and you will not make any claim against the Company or the Board related to tax liabilities arising from your compensation.</w:t>
      </w:r>
    </w:p>
    <w:p>
      <w:pPr>
        <w:spacing w:after="0" w:line="173" w:lineRule="exact"/>
        <w:rPr>
          <w:rFonts w:ascii="Times New Roman" w:cs="Times New Roman" w:eastAsia="Times New Roman" w:hAnsi="Times New Roman"/>
          <w:sz w:val="18"/>
          <w:szCs w:val="18"/>
          <w:color w:val="auto"/>
        </w:rPr>
      </w:pPr>
    </w:p>
    <w:p>
      <w:pPr>
        <w:ind w:left="-987" w:firstLine="987"/>
        <w:spacing w:after="0" w:line="254" w:lineRule="auto"/>
        <w:tabs>
          <w:tab w:leader="none" w:pos="24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To the extent applicable, this letter agreement shall be interpreted in accordance with Section 409A of the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Department of Treasury regulations and other guidance issued thereunder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to the contrary in this letter agreement, no compensation or benefits will be paid to you during the six-month period following your “separation from service” with the Company (within the meaning of Section 409A) if the Company determines that paying such amounts at the time or times indicated in this letter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resulting in a prohibited distribution, including as a result of your death), the Company will pay you a lump-sum amount equal to the cumulative amount that would have otherwise been payable to you during such period (without interest).</w:t>
      </w:r>
    </w:p>
    <w:p>
      <w:pPr>
        <w:sectPr>
          <w:pgSz w:w="11900" w:h="16838" w:orient="portrait"/>
          <w:cols w:equalWidth="0" w:num="1">
            <w:col w:w="10013"/>
          </w:cols>
          <w:pgMar w:left="1427" w:top="270" w:right="459" w:bottom="1440" w:gutter="0" w:footer="0" w:header="0"/>
        </w:sectPr>
      </w:pPr>
    </w:p>
    <w:bookmarkStart w:id="151" w:name="page152"/>
    <w:bookmarkEnd w:id="151"/>
    <w:p>
      <w:pPr>
        <w:ind w:left="-987" w:right="20" w:firstLine="987"/>
        <w:spacing w:after="0" w:line="256" w:lineRule="auto"/>
        <w:tabs>
          <w:tab w:leader="none" w:pos="27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 and Amendment</w:t>
      </w:r>
      <w:r>
        <w:rPr>
          <w:rFonts w:ascii="Times New Roman" w:cs="Times New Roman" w:eastAsia="Times New Roman" w:hAnsi="Times New Roman"/>
          <w:sz w:val="18"/>
          <w:szCs w:val="18"/>
          <w:color w:val="auto"/>
        </w:rPr>
        <w:t>. This letter agreement constitutes the complete agreement between you and the Company, contains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of the terms of your employment with the Company and, effective as of the Effective Date, supersedes any prior offers, agreements, representations or understandings (whether written, oral or implied) with respect to the subject matter hereof (including, without limitation, any offer letter between you and the Company, which is hereby terminated effective as of the Effective Date, but excluding the Confidential Information Agreement). Except as set forth in Section 4 of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this letter agreement may not be amended or modified, except by an express written agreement signed by both you and a duly authorized officer of the Company (other than you). This letter agreement shall terminate automatically upon the termination of the Merger Agreement prior to the consummation of the closing of the business combination described therein.</w:t>
      </w:r>
    </w:p>
    <w:p>
      <w:pPr>
        <w:spacing w:after="0" w:line="182" w:lineRule="exact"/>
        <w:rPr>
          <w:rFonts w:ascii="Times New Roman" w:cs="Times New Roman" w:eastAsia="Times New Roman" w:hAnsi="Times New Roman"/>
          <w:sz w:val="18"/>
          <w:szCs w:val="18"/>
          <w:color w:val="auto"/>
        </w:rPr>
      </w:pPr>
    </w:p>
    <w:p>
      <w:pPr>
        <w:ind w:left="-987" w:firstLine="987"/>
        <w:spacing w:after="0" w:line="256" w:lineRule="auto"/>
        <w:tabs>
          <w:tab w:leader="none" w:pos="26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Agreement is personal to you and, without the prior written consent of the Company, shall not be assignable by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by will or the laws of descent and distribution. This Agreement shall be binding upon and inure to the benefit of (1) your heirs, executors, and legal representatives and (2) any successor of the Company, whether by merger, acquisition, or otherwise. The Company shall require any such successor to expressly assume and agree to perform the Company’s obligations under this Agreement as a condition to any such succession. Notwithstanding the generality of the foregoing, upon the closing of the business combination described in the Merger Agreement, this Agreement automatically shall be assigned, without the consent of the parties hereto, to the ultimate parent entity of the Company or its successor (such ultimate parent entity,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xml:space="preserve">”) and references to the Company herein (including the restrictive covenants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shall mean Pubco.</w:t>
      </w:r>
    </w:p>
    <w:p>
      <w:pPr>
        <w:spacing w:after="0" w:line="182" w:lineRule="exact"/>
        <w:rPr>
          <w:rFonts w:ascii="Times New Roman" w:cs="Times New Roman" w:eastAsia="Times New Roman" w:hAnsi="Times New Roman"/>
          <w:sz w:val="18"/>
          <w:szCs w:val="18"/>
          <w:color w:val="auto"/>
        </w:rPr>
      </w:pPr>
    </w:p>
    <w:p>
      <w:pPr>
        <w:ind w:left="-987" w:right="20" w:firstLine="987"/>
        <w:spacing w:after="0" w:line="254" w:lineRule="auto"/>
        <w:tabs>
          <w:tab w:leader="none" w:pos="27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terms of this letter agreement and the resolution of any disputes as to the meaning, effect, performance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of this letter agreement or arising out of, related to, or in any way connected with, this letter agreement, your employment with the Company or any other relationship between you and the Company (the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will be governed by Texas law, excluding laws relating to conflicts or choice of law. You and the Company submit to the exclusive personal jurisdiction of the federal and state courts located in Texas in connection with any Dispute or any claim related to any Dispute. You acknowledge that you have been advised by the Company to consult with, and seek the advice of, a personal attorney of your choice prior to executing this letter agreement in connection with the negotiation, drafting and execution of this letter agreement, including, without limitation, the choice of law provision contained in this Section 11 and the Restrictive Covenants. You represent and warrant that you have, in fact, retained a personal attorney for such purpose and have received the advice of such attorney with respect to each of the terms and the negotiation of this letter agreement, prior to entering into this letter agreement and including, without limitation, with respect to the covenants and provisions noted in the preceding sentence.</w:t>
      </w:r>
    </w:p>
    <w:p>
      <w:pPr>
        <w:spacing w:after="0" w:line="189" w:lineRule="exact"/>
        <w:rPr>
          <w:rFonts w:ascii="Times New Roman" w:cs="Times New Roman" w:eastAsia="Times New Roman" w:hAnsi="Times New Roman"/>
          <w:sz w:val="18"/>
          <w:szCs w:val="18"/>
          <w:color w:val="auto"/>
        </w:rPr>
      </w:pPr>
    </w:p>
    <w:p>
      <w:pPr>
        <w:ind w:left="41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ectPr>
          <w:pgSz w:w="11900" w:h="16838" w:orient="portrait"/>
          <w:cols w:equalWidth="0" w:num="1">
            <w:col w:w="9993"/>
          </w:cols>
          <w:pgMar w:left="1427" w:top="266" w:right="479" w:bottom="1440" w:gutter="0" w:footer="0" w:header="0"/>
        </w:sectPr>
      </w:pPr>
    </w:p>
    <w:bookmarkStart w:id="152" w:name="page153"/>
    <w:bookmarkEnd w:id="15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have any questions, please feel free to reach out.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TEAMSHARES INC.</w:t>
      </w:r>
    </w:p>
    <w:p>
      <w:pPr>
        <w:spacing w:after="0" w:line="221"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Michael Brown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and accept this employment letter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2853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Brian Gaebe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-5080</wp:posOffset>
            </wp:positionV>
            <wp:extent cx="19424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1942465" cy="8890"/>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ind w:left="-20" w:firstLine="987"/>
        <w:spacing w:after="0" w:line="253" w:lineRule="auto"/>
        <w:tabs>
          <w:tab w:leader="none" w:pos="121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 your unauthorized use or disclosure of confidential information or trade secrets of the Company or any of its subsidiaries or any material breach of a written agreement between you and the Company or any of its subsidiaries, including without limitation a material breach of any employment, confidentiality, non-compete, non-solicit or similar agreement, (ii) your conviction of or the entry of a plea of guilty or nolo contendere by you to, a felony under the laws of the United States or any state thereof or any crime involving dishonesty or moral turpitude (or any similar crime in any jurisdiction outside the United States), (iii) your negligence or willful misconduct in the performance of your duties or your willful or repeated failure or refusal to substantially perform assigned duties, (iv) any act of fraud, embezzlement, material misappropriation or dishonesty committed by you against the Company or any of its subsidiaries or (v) any acts, omissions or statements by you which the Company determines to be materially detrimental or damaging to the reputation, operations, prospects or business relations of the Company or any of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Cause will exist until the Company has provided you with written notice detailing such Cause actions or violations and, if such Cause actions or violations are susceptible of cure, provide you with at least 20 days to cure such Cause actions or violations. The findings and decision of the Board with respect to any Cause determination will be final and binding for all purposes.</w:t>
      </w:r>
    </w:p>
    <w:p>
      <w:pPr>
        <w:spacing w:after="0" w:line="191" w:lineRule="exact"/>
        <w:rPr>
          <w:rFonts w:ascii="Times New Roman" w:cs="Times New Roman" w:eastAsia="Times New Roman" w:hAnsi="Times New Roman"/>
          <w:sz w:val="18"/>
          <w:szCs w:val="18"/>
          <w:color w:val="auto"/>
        </w:rPr>
      </w:pPr>
    </w:p>
    <w:p>
      <w:pPr>
        <w:ind w:left="-20" w:right="40" w:firstLine="987"/>
        <w:spacing w:after="0" w:line="253" w:lineRule="auto"/>
        <w:tabs>
          <w:tab w:leader="none" w:pos="122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any one or more of the following events without your prior written consent, unless the Company fully corrects the circumstances constituting Good Reason (provided such circumstances are capable of correction) as provided below: (i) a diminution in your annual base salary, (ii) a material diminution in your title, authorities, duties and/or responsibilities, (iii) a change in your reporting structure, such that you no longer report directly to the Chief Executive Officer of the Company, and a reduction in your duties or responsibilities separate and apart from such change in reporting structure, (iv) a change in the geographic location of your principal work location by more than 15 miles from its location as of the Effective Date by action of the Company or (v) the Company’s material breach of this letter agreement or any individual award agreement between you and the Company under the Company’s 2026 Incentive Award Plan. Notwithstanding the foregoing, you will not be deemed to have resigned for Good Reason unless (1) you provide the Company with written notice setting forth in reasonable detail the facts and circumstances claimed by you to constitute Good Reason within 90 days after the date of the occurrence of any event that you know or should reasonably have known to constitute Good Reason, (2) the Company fails to cure such acts or omissions within 30 days following its receipt of such notice, and (3) the effective date of your termination for Good Reason occurs no later than seven days after the expiration of the Company’s cure period.</w:t>
      </w:r>
    </w:p>
    <w:p>
      <w:pPr>
        <w:sectPr>
          <w:pgSz w:w="11900" w:h="16838" w:orient="portrait"/>
          <w:cols w:equalWidth="0" w:num="1">
            <w:col w:w="10960"/>
          </w:cols>
          <w:pgMar w:left="460" w:top="266" w:right="479" w:bottom="1440" w:gutter="0" w:footer="0" w:header="0"/>
        </w:sectPr>
      </w:pPr>
    </w:p>
    <w:bookmarkStart w:id="155" w:name="page156"/>
    <w:bookmarkEnd w:id="155"/>
    <w:p>
      <w:pPr>
        <w:ind w:left="10000"/>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TEAMSHARES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Madhuri:</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Teamshares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pleased to offer you continued employment on the following terms, effective upon the closing of the business combination contemplated by that certain Agreement and Plan of Merger among Live Oak Acquisition Corp. V, the Company and certain other parties, as amended (such agreement,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firstLine="987"/>
        <w:spacing w:after="0" w:line="256" w:lineRule="auto"/>
        <w:tabs>
          <w:tab w:leader="none" w:pos="117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 will serve as the Company’s Chief Operating Officer, and you will report to the Company’s Chief Executive Officer,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individual as the Company may designate (subject to your right to resign with Good Reason, as described below). As a full-time employee, you will devote your full business time, attention, skill, and efforts to the tasks and duties of your position as assigned by the Company. In addition, while you render services to the Company, you will not engage in any other employment, consulting or other business activity (whether full-time or part-time) that would create a conflict of interest with the Company. By signing this letter agreement, you represent that you have no contractual commitments or other legal obligations that would prohibit you from performing your duties for the Company or that would violate any duty which you may have to any other person or entity (including a former employer).</w:t>
      </w:r>
    </w:p>
    <w:p>
      <w:pPr>
        <w:spacing w:after="0" w:line="182"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Your annual base salary will be $400,000, payable in accordance with the Company’s standard payroll schedule and</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pro-rated for any partial year of employment. Your salary will be reviewed periodically and may be increased (but not decreased) by the Company from time to time.</w:t>
      </w:r>
    </w:p>
    <w:p>
      <w:pPr>
        <w:spacing w:after="0" w:line="177" w:lineRule="exact"/>
        <w:rPr>
          <w:sz w:val="20"/>
          <w:szCs w:val="20"/>
          <w:color w:val="auto"/>
        </w:rPr>
      </w:pPr>
    </w:p>
    <w:p>
      <w:pPr>
        <w:ind w:right="20" w:firstLine="987"/>
        <w:spacing w:after="0" w:line="262" w:lineRule="auto"/>
        <w:tabs>
          <w:tab w:leader="none" w:pos="117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 Benefits</w:t>
      </w:r>
      <w:r>
        <w:rPr>
          <w:rFonts w:ascii="Times New Roman" w:cs="Times New Roman" w:eastAsia="Times New Roman" w:hAnsi="Times New Roman"/>
          <w:sz w:val="18"/>
          <w:szCs w:val="18"/>
          <w:color w:val="auto"/>
        </w:rPr>
        <w:t>. During your employment with the Company, you will be eligible to participate in all health, welfare, retirement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benefit and perquisite plans made available by the Company to its senior executives generally, as may be in effect from time to time. In addition, you will be eligible for paid time off, vacation and/or paid sick leave in accordance with applicable law and the applicable Company policy, as in effect from time to time.</w:t>
      </w:r>
    </w:p>
    <w:p>
      <w:pPr>
        <w:spacing w:after="0" w:line="176" w:lineRule="exact"/>
        <w:rPr>
          <w:rFonts w:ascii="Times New Roman" w:cs="Times New Roman" w:eastAsia="Times New Roman" w:hAnsi="Times New Roman"/>
          <w:sz w:val="18"/>
          <w:szCs w:val="18"/>
          <w:color w:val="auto"/>
        </w:rPr>
      </w:pPr>
    </w:p>
    <w:p>
      <w:pPr>
        <w:ind w:right="60" w:firstLine="987"/>
        <w:spacing w:after="0" w:line="259" w:lineRule="auto"/>
        <w:tabs>
          <w:tab w:leader="none" w:pos="117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Compensation</w:t>
      </w:r>
      <w:r>
        <w:rPr>
          <w:rFonts w:ascii="Times New Roman" w:cs="Times New Roman" w:eastAsia="Times New Roman" w:hAnsi="Times New Roman"/>
          <w:sz w:val="18"/>
          <w:szCs w:val="18"/>
          <w:color w:val="auto"/>
        </w:rPr>
        <w:t>. You will be eligible to receive an equity-based compensation award (any such award,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subject to your continued employment through the applicable grant date, and approval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a subcommittee thereof). The Board will determine in its sole discretion the grant timing, amount, form, mix and other terms and conditions (including vesting, exercise and settlement) applicable to the Award based on its review of market compensation, and the Award will be governed by the Company’s 2026 Incentive Award Plan and evidenced by a separate award agreement in a form prescribed by the Company.</w:t>
      </w:r>
    </w:p>
    <w:p>
      <w:pPr>
        <w:spacing w:after="0" w:line="179" w:lineRule="exact"/>
        <w:rPr>
          <w:rFonts w:ascii="Times New Roman" w:cs="Times New Roman" w:eastAsia="Times New Roman" w:hAnsi="Times New Roman"/>
          <w:sz w:val="18"/>
          <w:szCs w:val="18"/>
          <w:color w:val="auto"/>
        </w:rPr>
      </w:pPr>
    </w:p>
    <w:p>
      <w:pPr>
        <w:ind w:right="160" w:firstLine="987"/>
        <w:spacing w:after="0" w:line="262" w:lineRule="auto"/>
        <w:tabs>
          <w:tab w:leader="none" w:pos="117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Restrictive Covenants</w:t>
      </w:r>
      <w:r>
        <w:rPr>
          <w:rFonts w:ascii="Times New Roman" w:cs="Times New Roman" w:eastAsia="Times New Roman" w:hAnsi="Times New Roman"/>
          <w:sz w:val="18"/>
          <w:szCs w:val="18"/>
          <w:color w:val="auto"/>
        </w:rPr>
        <w:t>. In connection with your employment with the Company, you have received and the Company will continue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you with access to confidential information. As a condition to your continued access to confidential information, by signing below, you acknowledge and agree to comply with the restrictive covenants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In addition, by signing below, you acknowledge that you previously agreed to certain covenants pursuant to an At-Will</w:t>
      </w:r>
    </w:p>
    <w:p>
      <w:pPr>
        <w:sectPr>
          <w:pgSz w:w="11900" w:h="16838" w:orient="portrait"/>
          <w:cols w:equalWidth="0" w:num="1">
            <w:col w:w="11020"/>
          </w:cols>
          <w:pgMar w:left="440" w:top="117" w:right="439" w:bottom="1440" w:gutter="0" w:footer="0" w:header="0"/>
        </w:sectPr>
      </w:pPr>
    </w:p>
    <w:bookmarkStart w:id="156" w:name="page157"/>
    <w:bookmarkEnd w:id="156"/>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Employment, Confidential Information, Invention Assignment and Arbitration Agreement with the Company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and you acknowledge and agree that those covenants remain in full force and effect in accordance with their terms and you will be bound by their terms and conditions. The restrictive covenants contained in the Confidential Information Agreement and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are collectively referred to herein as the “</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987"/>
        <w:spacing w:after="0" w:line="259" w:lineRule="auto"/>
        <w:tabs>
          <w:tab w:leader="none" w:pos="117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Relationship</w:t>
      </w:r>
      <w:r>
        <w:rPr>
          <w:rFonts w:ascii="Times New Roman" w:cs="Times New Roman" w:eastAsia="Times New Roman" w:hAnsi="Times New Roman"/>
          <w:sz w:val="18"/>
          <w:szCs w:val="18"/>
          <w:color w:val="auto"/>
        </w:rPr>
        <w:t>. Employment with the Company is for no specific period of time. Your employment with the Company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“at will,” meaning that either you or the Company may terminate your employment at any time and for any reason, with or without cause. Any contrary representations that may have been made to you are superseded by this letter agreement.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54"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your employment with or without Cause, you may terminate your employment for Good Reason or without Good Reason, your employment will terminate upon your death, and your employment may be terminated by either you or the Company due to your disability. You and the Company agree to provide the other party with at least 30 days’ written notice of a termination of your employment without Good Reason or without Cause,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either case the Company may determine to terminate your employment prior to the conclusion of such 30-day period if it provides salary and benefits in lieu of notice. If the Company claims Cause for termination exists, it may place you on paid administrative leave and require you to be absent from the Company’s office and IT systems while it investigates the Cause condition(s);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during such leave, the Company must permit you to take reasonable action to cure the Cause condition.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Reason</w:t>
      </w:r>
      <w:r>
        <w:rPr>
          <w:rFonts w:ascii="Times New Roman" w:cs="Times New Roman" w:eastAsia="Times New Roman" w:hAnsi="Times New Roman"/>
          <w:sz w:val="18"/>
          <w:szCs w:val="18"/>
          <w:color w:val="auto"/>
        </w:rPr>
        <w:t xml:space="preserve">” will have the meanings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entitled to participate in an executive severance plan to be adopted by the Company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which will provide that if your employment is terminated by the Company without Cause or by you for Good Reason, in either case, then you will be entitled to receive (i) continuation payments of six months of your then-current base salary, (ii) up to 12 months of Company-subsidized continued health care continuation, (iii) continued vesting of the service-vesting component of any Company equity awards held by you that otherwise would have vested during the 12-month period following your termination of employment (had you remained employed during such period) and (iv) with respect to any performance-based Company equity awards held by you that are outstanding as of your termination date, such awards will remain outstanding for the six-month period following your termination of employment and will be eligible to vest based on the achievement of applicable performance objectives during such six-month period. Notwithstanding the foregoing, the Severance Plan will provide that if either such termination occurs prior to the second anniversary of the closing of the Company’s deSPAC transaction then the continued vesting described in subclause (iii) and continued eligibility to vest described in subclause (iv) will continue until the later of such second anniversary and the 12-month anniversary of the termination of your employment. It will be a condition to your right to receive the foregoing severance payments and benefits that you comply with any applicable restrictive covenants, and that you execute and deliver an effective release of claims in a form prescribed by the Company (which release of claims shall not contain any post-employment restrictions broader than those you are subject to as of the date of your termination)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that becomes irrevocable within 30 days (or, to the extent required by law, 52 days) following the date of termination.</w:t>
      </w:r>
    </w:p>
    <w:p>
      <w:pPr>
        <w:sectPr>
          <w:pgSz w:w="11900" w:h="16838" w:orient="portrait"/>
          <w:cols w:equalWidth="0" w:num="1">
            <w:col w:w="11000"/>
          </w:cols>
          <w:pgMar w:left="440" w:top="270" w:right="459" w:bottom="1440" w:gutter="0" w:footer="0" w:header="0"/>
        </w:sectPr>
      </w:pPr>
    </w:p>
    <w:bookmarkStart w:id="157" w:name="page158"/>
    <w:bookmarkEnd w:id="157"/>
    <w:p>
      <w:pPr>
        <w:ind w:left="-987" w:firstLine="987"/>
        <w:spacing w:after="0" w:line="256" w:lineRule="auto"/>
        <w:tabs>
          <w:tab w:leader="none" w:pos="2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Severance Plan also will provide that if your employment is terminated (i) by the Company without Cause or by you for Good Reason, in either case, during the period starting six months prior to a Change in Control (as defined in the Company’s 2026 Incentive Award Plan) and ending on the two-year anniversary of the Change in Control (the “</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or (ii) due to your death or disability, in either case, then, subject to your timely execution and non-revocation of the Release, (A) the service-vesting component of any Company equity awards held by you will vest in full, and (B) the performance-vesting component of any Company equity awards held by you will remain outstanding for the Change in Control Period and will be eligible to vest based on the achievement of applicable performance objectives within the Change in Control Period.</w:t>
      </w:r>
    </w:p>
    <w:p>
      <w:pPr>
        <w:spacing w:after="0" w:line="187" w:lineRule="exact"/>
        <w:rPr>
          <w:rFonts w:ascii="Times New Roman" w:cs="Times New Roman" w:eastAsia="Times New Roman" w:hAnsi="Times New Roman"/>
          <w:sz w:val="18"/>
          <w:szCs w:val="18"/>
          <w:color w:val="auto"/>
        </w:rPr>
      </w:pPr>
    </w:p>
    <w:p>
      <w:pPr>
        <w:ind w:left="-987" w:right="120" w:firstLine="987"/>
        <w:spacing w:after="0" w:line="255" w:lineRule="auto"/>
        <w:tabs>
          <w:tab w:leader="none" w:pos="2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conflict between the provisions of this Section 7 and any provision of the Severance Plan, the Company’s 2026 Incentive Award Plan, any individual award agreement between you and the Company under the Company’s 2026 Incentive Award Plan, or any other Company plan or arrangement, in any case with respect to the separation-related terms contained herein, the terms of this Section 7 shall govern;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such plan or agreement provides for a separation-related term that is more favorable to you than the corresponding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this Section 7, such more favorable term shall govern. For the avoidance of doubt, any non-conflicting provisions of such plans or agreements that are not addressed in this Section 7 shall remain in full force and effect and shall supplement (rather than conflict with) the terms of this Section 7.</w:t>
      </w:r>
    </w:p>
    <w:p>
      <w:pPr>
        <w:spacing w:after="0" w:line="185" w:lineRule="exact"/>
        <w:rPr>
          <w:sz w:val="20"/>
          <w:szCs w:val="20"/>
          <w:color w:val="auto"/>
        </w:rPr>
      </w:pPr>
    </w:p>
    <w:p>
      <w:pPr>
        <w:ind w:left="-987" w:right="120" w:firstLine="987"/>
        <w:spacing w:after="0" w:line="259" w:lineRule="auto"/>
        <w:tabs>
          <w:tab w:leader="none" w:pos="18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D&amp;O; Indemnification</w:t>
      </w:r>
      <w:r>
        <w:rPr>
          <w:rFonts w:ascii="Times New Roman" w:cs="Times New Roman" w:eastAsia="Times New Roman" w:hAnsi="Times New Roman"/>
          <w:sz w:val="18"/>
          <w:szCs w:val="18"/>
          <w:color w:val="auto"/>
        </w:rPr>
        <w:t>. The Company will indemnify you to the fullest extent permitted by applicable law in the event that you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are a party, or are threatened to be made a party to any threatened, pending or completed action, suit or proceeding, by reason of the fact that you are or were a director, officer, employee or agent of the Company or any of its affiliates, whether or not the claim is asserted during the term of this letter agreement. You will be covered under any directors’ and officers’ insurance that the Company maintains for its directors and other officers in the same manner and on the same basis as the Company’s directors and other officers.</w:t>
      </w:r>
    </w:p>
    <w:p>
      <w:pPr>
        <w:spacing w:after="0" w:line="179" w:lineRule="exact"/>
        <w:rPr>
          <w:rFonts w:ascii="Times New Roman" w:cs="Times New Roman" w:eastAsia="Times New Roman" w:hAnsi="Times New Roman"/>
          <w:sz w:val="18"/>
          <w:szCs w:val="18"/>
          <w:color w:val="auto"/>
        </w:rPr>
      </w:pPr>
    </w:p>
    <w:p>
      <w:pPr>
        <w:ind w:left="173" w:hanging="173"/>
        <w:spacing w:after="0"/>
        <w:tabs>
          <w:tab w:leader="none" w:pos="17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p>
    <w:p>
      <w:pPr>
        <w:spacing w:after="0" w:line="227" w:lineRule="exact"/>
        <w:rPr>
          <w:sz w:val="20"/>
          <w:szCs w:val="20"/>
          <w:color w:val="auto"/>
        </w:rPr>
      </w:pPr>
    </w:p>
    <w:p>
      <w:pPr>
        <w:ind w:left="-987" w:right="360" w:firstLine="987"/>
        <w:spacing w:after="0" w:line="267" w:lineRule="auto"/>
        <w:tabs>
          <w:tab w:leader="none" w:pos="24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All payments to you under this letter agreement will be subject to any required withholding of federal,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pursuant to any applicable law or regulation and the Company and its affiliates are entitled to withhold any and all such taxes from amounts payable under this letter agreement.</w:t>
      </w:r>
    </w:p>
    <w:p>
      <w:pPr>
        <w:spacing w:after="0" w:line="173" w:lineRule="exact"/>
        <w:rPr>
          <w:rFonts w:ascii="Times New Roman" w:cs="Times New Roman" w:eastAsia="Times New Roman" w:hAnsi="Times New Roman"/>
          <w:sz w:val="18"/>
          <w:szCs w:val="18"/>
          <w:color w:val="auto"/>
        </w:rPr>
      </w:pPr>
    </w:p>
    <w:p>
      <w:pPr>
        <w:ind w:left="-987" w:right="320" w:firstLine="987"/>
        <w:spacing w:after="0" w:line="267" w:lineRule="auto"/>
        <w:tabs>
          <w:tab w:leader="none" w:pos="25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Advice</w:t>
      </w:r>
      <w:r>
        <w:rPr>
          <w:rFonts w:ascii="Times New Roman" w:cs="Times New Roman" w:eastAsia="Times New Roman" w:hAnsi="Times New Roman"/>
          <w:sz w:val="18"/>
          <w:szCs w:val="18"/>
          <w:color w:val="auto"/>
        </w:rPr>
        <w:t>. You are encouraged to obtain your own tax advice regarding your compensation from the Company. You agree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does not have a duty to design its compensation policies in a manner that minimizes your tax liabilities, and you will not make any claim against the Company or the Board related to tax liabilities arising from your compensation.</w:t>
      </w:r>
    </w:p>
    <w:p>
      <w:pPr>
        <w:spacing w:after="0" w:line="173" w:lineRule="exact"/>
        <w:rPr>
          <w:rFonts w:ascii="Times New Roman" w:cs="Times New Roman" w:eastAsia="Times New Roman" w:hAnsi="Times New Roman"/>
          <w:sz w:val="18"/>
          <w:szCs w:val="18"/>
          <w:color w:val="auto"/>
        </w:rPr>
      </w:pPr>
    </w:p>
    <w:p>
      <w:pPr>
        <w:ind w:left="-987" w:firstLine="987"/>
        <w:spacing w:after="0" w:line="254" w:lineRule="auto"/>
        <w:tabs>
          <w:tab w:leader="none" w:pos="24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To the extent applicable, this letter agreement shall be interpreted in accordance with Section 409A of the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Department of Treasury regulations and other guidance issued thereunder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to the contrary in this letter agreement, no compensation or benefits will be paid to you during the six-month period following your “separation from service” with the Company (within the meaning of Section 409A) if the Company determines that paying such amounts at the time or times indicated in this letter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resulting in a prohibited distribution, including as a result of your death), the Company will pay you a lump-sum amount equal to the cumulative amount that would have otherwise been payable to you during such period (without interest).</w:t>
      </w:r>
    </w:p>
    <w:p>
      <w:pPr>
        <w:sectPr>
          <w:pgSz w:w="11900" w:h="16838" w:orient="portrait"/>
          <w:cols w:equalWidth="0" w:num="1">
            <w:col w:w="10013"/>
          </w:cols>
          <w:pgMar w:left="1427" w:top="270" w:right="459" w:bottom="1440" w:gutter="0" w:footer="0" w:header="0"/>
        </w:sectPr>
      </w:pPr>
    </w:p>
    <w:bookmarkStart w:id="158" w:name="page159"/>
    <w:bookmarkEnd w:id="158"/>
    <w:p>
      <w:pPr>
        <w:ind w:left="-987" w:right="20" w:firstLine="987"/>
        <w:spacing w:after="0" w:line="256" w:lineRule="auto"/>
        <w:tabs>
          <w:tab w:leader="none" w:pos="27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Interpretation and Amendment</w:t>
      </w:r>
      <w:r>
        <w:rPr>
          <w:rFonts w:ascii="Times New Roman" w:cs="Times New Roman" w:eastAsia="Times New Roman" w:hAnsi="Times New Roman"/>
          <w:sz w:val="18"/>
          <w:szCs w:val="18"/>
          <w:color w:val="auto"/>
        </w:rPr>
        <w:t>. This letter agreement constitutes the complete agreement between you and the Company, contains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of the terms of your employment with the Company and, effective as of the Effective Date, supersedes any prior offers, agreements, representations or understandings (whether written, oral or implied) with respect to the subject matter hereof (including, without limitation, any offer letter between you and the Company, which is hereby terminated effective as of the Effective Date, but excluding the Confidential Information Agreement). Except as set forth in Section 4 of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this letter agreement may not be amended or modified, except by an express written agreement signed by both you and a duly authorized officer of the Company (other than you). This letter agreement shall terminate automatically upon the termination of the Merger Agreement prior to the consummation of the closing of the business combination described therein.</w:t>
      </w:r>
    </w:p>
    <w:p>
      <w:pPr>
        <w:spacing w:after="0" w:line="182" w:lineRule="exact"/>
        <w:rPr>
          <w:rFonts w:ascii="Times New Roman" w:cs="Times New Roman" w:eastAsia="Times New Roman" w:hAnsi="Times New Roman"/>
          <w:sz w:val="18"/>
          <w:szCs w:val="18"/>
          <w:color w:val="auto"/>
        </w:rPr>
      </w:pPr>
    </w:p>
    <w:p>
      <w:pPr>
        <w:ind w:left="-987" w:firstLine="987"/>
        <w:spacing w:after="0" w:line="256" w:lineRule="auto"/>
        <w:tabs>
          <w:tab w:leader="none" w:pos="26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Agreement is personal to you and, without the prior written consent of the Company, shall not be assignable by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by will or the laws of descent and distribution. This Agreement shall be binding upon and inure to the benefit of (1) your heirs, executors, and legal representatives and (2) any successor of the Company, whether by merger, acquisition, or otherwise. The Company shall require any such successor to expressly assume and agree to perform the Company’s obligations under this Agreement as a condition to any such succession. Notwithstanding the generality of the foregoing, upon the closing of the business combination described in the Merger Agreement, this Agreement automatically shall be assigned, without the consent of the parties hereto, to the ultimate parent entity of the Company or its successor (such ultimate parent entity, “</w:t>
      </w:r>
      <w:r>
        <w:rPr>
          <w:rFonts w:ascii="Times New Roman" w:cs="Times New Roman" w:eastAsia="Times New Roman" w:hAnsi="Times New Roman"/>
          <w:sz w:val="18"/>
          <w:szCs w:val="18"/>
          <w:u w:val="single" w:color="auto"/>
          <w:color w:val="auto"/>
        </w:rPr>
        <w:t>Pubco</w:t>
      </w:r>
      <w:r>
        <w:rPr>
          <w:rFonts w:ascii="Times New Roman" w:cs="Times New Roman" w:eastAsia="Times New Roman" w:hAnsi="Times New Roman"/>
          <w:sz w:val="18"/>
          <w:szCs w:val="18"/>
          <w:color w:val="auto"/>
        </w:rPr>
        <w:t xml:space="preserve">”) and references to the Company herein (including the restrictive covenants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shall mean Pubco.</w:t>
      </w:r>
    </w:p>
    <w:p>
      <w:pPr>
        <w:spacing w:after="0" w:line="182" w:lineRule="exact"/>
        <w:rPr>
          <w:rFonts w:ascii="Times New Roman" w:cs="Times New Roman" w:eastAsia="Times New Roman" w:hAnsi="Times New Roman"/>
          <w:sz w:val="18"/>
          <w:szCs w:val="18"/>
          <w:color w:val="auto"/>
        </w:rPr>
      </w:pPr>
    </w:p>
    <w:p>
      <w:pPr>
        <w:ind w:left="-987" w:right="40" w:firstLine="987"/>
        <w:spacing w:after="0" w:line="254" w:lineRule="auto"/>
        <w:tabs>
          <w:tab w:leader="none" w:pos="27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terms of this letter agreement and the resolution of any disputes as to the meaning, effect, performance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of this letter agreement or arising out of, related to, or in any way connected with, this letter agreement, your employment with the Company or any other relationship between you and the Company (the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will be governed by New York law, excluding laws relating to conflicts or choice of law. You and the Company submit to the exclusive personal jurisdiction of the federal and state courts located in New York in connection with any Dispute or any claim related to any Dispute. You acknowledge that you have been advised by the Company to consult with, and seek the advice of, a personal attorney of your choice prior to executing this letter agreement in connection with the negotiation, drafting and execution of this letter agreement, including, without limitation, the choice of law provision contained in this Section 11 and the Restrictive Covenants. You represent and warrant that you have, in fact, retained a personal attorney for such purpose and have received the advice of such attorney with respect to each of the terms and the negotiation of this letter agreement, prior to entering into this letter agreement and including, without limitation, with respect to the covenants and provisions noted in the preceding sentence.</w:t>
      </w:r>
    </w:p>
    <w:p>
      <w:pPr>
        <w:spacing w:after="0" w:line="189" w:lineRule="exact"/>
        <w:rPr>
          <w:rFonts w:ascii="Times New Roman" w:cs="Times New Roman" w:eastAsia="Times New Roman" w:hAnsi="Times New Roman"/>
          <w:sz w:val="18"/>
          <w:szCs w:val="18"/>
          <w:color w:val="auto"/>
        </w:rPr>
      </w:pPr>
    </w:p>
    <w:p>
      <w:pPr>
        <w:ind w:left="41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ectPr>
          <w:pgSz w:w="11900" w:h="16838" w:orient="portrait"/>
          <w:cols w:equalWidth="0" w:num="1">
            <w:col w:w="9993"/>
          </w:cols>
          <w:pgMar w:left="1427" w:top="266" w:right="479" w:bottom="1440" w:gutter="0" w:footer="0" w:header="0"/>
        </w:sectPr>
      </w:pPr>
    </w:p>
    <w:bookmarkStart w:id="159" w:name="page160"/>
    <w:bookmarkEnd w:id="15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have any questions, please feel free to reach out.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TEAMSHARES INC.</w:t>
      </w:r>
    </w:p>
    <w:p>
      <w:pPr>
        <w:spacing w:after="0" w:line="221"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By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Michael Brown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and accept this employment letter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2853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Madhuri Kommareddi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-5080</wp:posOffset>
            </wp:positionV>
            <wp:extent cx="19424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ind w:left="-20" w:firstLine="987"/>
        <w:spacing w:after="0" w:line="253" w:lineRule="auto"/>
        <w:tabs>
          <w:tab w:leader="none" w:pos="121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(i) your unauthorized use or disclosure of confidential information or trade secrets of the Company or any of its subsidiaries or any material breach of a written agreement between you and the Company or any of its subsidiaries, including without limitation a material breach of any employment, confidentiality, non-compete, non-solicit or similar agreement, (ii) your conviction of or the entry of a plea of guilty or nolo contendere by you to, a felony under the laws of the United States or any state thereof or any crime involving dishonesty or moral turpitude (or any similar crime in any jurisdiction outside the United States), (iii) your negligence or willful misconduct in the performance of your duties or your willful or repeated failure or refusal to substantially perform assigned duties, (iv) any act of fraud, embezzlement, material misappropriation or dishonesty committed by you against the Company or any of its subsidiaries or (v) any acts, omissions or statements by you which the Company determines to be materially detrimental or damaging to the reputation, operations, prospects or business relations of the Company or any of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Cause will exist until the Company has provided you with written notice detailing such Cause actions or violations and, if such Cause actions or violations are susceptible of cure, provide you with at least 20 days to cure such Cause actions or violations. The findings and decision of the Board with respect to any Cause determination will be final and binding for all purposes.</w:t>
      </w:r>
    </w:p>
    <w:p>
      <w:pPr>
        <w:spacing w:after="0" w:line="191" w:lineRule="exact"/>
        <w:rPr>
          <w:rFonts w:ascii="Times New Roman" w:cs="Times New Roman" w:eastAsia="Times New Roman" w:hAnsi="Times New Roman"/>
          <w:sz w:val="18"/>
          <w:szCs w:val="18"/>
          <w:color w:val="auto"/>
        </w:rPr>
      </w:pPr>
    </w:p>
    <w:p>
      <w:pPr>
        <w:ind w:left="-20" w:right="40" w:firstLine="987"/>
        <w:spacing w:after="0" w:line="253" w:lineRule="auto"/>
        <w:tabs>
          <w:tab w:leader="none" w:pos="122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any one or more of the following events without your prior written consent, unless the Company fully corrects the circumstances constituting Good Reason (provided such circumstances are capable of correction) as provided below: (i) a diminution in your annual base salary, (ii) a material diminution in your title, authorities, duties and/or responsibilities, (iii) a change in your reporting structure, such that you no longer report directly to the Chief Executive Officer of the Company, and a reduction in your duties or responsibilities separate and apart from such change in reporting structure, (iv) a change in the geographic location of your principal work location by more than 15 miles from its location as of the Effective Date by action of the Company or (v) the Company’s material breach of this letter agreement or any individual award agreement between you and the Company under the Company’s 2026 Incentive Award Plan. Notwithstanding the foregoing, you will not be deemed to have resigned for Good Reason unless (1) you provide the Company with written notice setting forth in reasonable detail the facts and circumstances claimed by you to constitute Good Reason within 90 days after the date of the occurrence of any event that you know or should reasonably have known to constitute Good Reason, (2) the Company fails to cure such acts or omissions within 30 days following its receipt of such notice, and (3) the effective date of your termination for Good Reason occurs no later than seven days after the expiration of the Company’s cure period.</w:t>
      </w:r>
    </w:p>
    <w:p>
      <w:pPr>
        <w:sectPr>
          <w:pgSz w:w="11900" w:h="16838" w:orient="portrait"/>
          <w:cols w:equalWidth="0" w:num="1">
            <w:col w:w="10960"/>
          </w:cols>
          <w:pgMar w:left="460" w:top="266" w:right="47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NON-REDEMPTION AGREEMENT</w:t>
      </w:r>
    </w:p>
    <w:p>
      <w:pPr>
        <w:spacing w:after="0" w:line="225" w:lineRule="exact"/>
        <w:rPr>
          <w:sz w:val="20"/>
          <w:szCs w:val="20"/>
          <w:color w:val="auto"/>
        </w:rPr>
      </w:pPr>
    </w:p>
    <w:p>
      <w:pPr>
        <w:jc w:val="both"/>
        <w:ind w:left="4" w:right="140" w:firstLine="440"/>
        <w:spacing w:after="0" w:line="278" w:lineRule="auto"/>
        <w:rPr>
          <w:sz w:val="20"/>
          <w:szCs w:val="20"/>
          <w:color w:val="auto"/>
        </w:rPr>
      </w:pPr>
      <w:r>
        <w:rPr>
          <w:rFonts w:ascii="Times New Roman" w:cs="Times New Roman" w:eastAsia="Times New Roman" w:hAnsi="Times New Roman"/>
          <w:sz w:val="17"/>
          <w:szCs w:val="17"/>
          <w:color w:val="auto"/>
        </w:rPr>
        <w:t>This NON-REDEMPTION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xml:space="preserve">”) is entered into as of June 5, 2026 by and among (i) </w:t>
      </w:r>
      <w:r>
        <w:rPr>
          <w:rFonts w:ascii="Times New Roman" w:cs="Times New Roman" w:eastAsia="Times New Roman" w:hAnsi="Times New Roman"/>
          <w:sz w:val="17"/>
          <w:szCs w:val="17"/>
          <w:b w:val="1"/>
          <w:bCs w:val="1"/>
          <w:color w:val="auto"/>
        </w:rPr>
        <w:t>Live Oak Acquisition Corp.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7"/>
          <w:szCs w:val="17"/>
          <w:color w:val="auto"/>
        </w:rPr>
        <w:t>, a Cayman Islands exempted company (together with its successors, including after giving effect to the Domestication (as defined below), “</w:t>
      </w:r>
      <w:r>
        <w:rPr>
          <w:rFonts w:ascii="Times New Roman" w:cs="Times New Roman" w:eastAsia="Times New Roman" w:hAnsi="Times New Roman"/>
          <w:sz w:val="17"/>
          <w:szCs w:val="17"/>
          <w:b w:val="1"/>
          <w:bCs w:val="1"/>
          <w:i w:val="1"/>
          <w:iCs w:val="1"/>
          <w:color w:val="auto"/>
        </w:rPr>
        <w:t>SPAC</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 w:right="280" w:hanging="4"/>
        <w:spacing w:after="0" w:line="255" w:lineRule="auto"/>
        <w:tabs>
          <w:tab w:leader="none" w:pos="26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Live Oak Sponsor V LLC</w:t>
      </w:r>
      <w:r>
        <w:rPr>
          <w:rFonts w:ascii="Times New Roman" w:cs="Times New Roman" w:eastAsia="Times New Roman" w:hAnsi="Times New Roman"/>
          <w:sz w:val="18"/>
          <w:szCs w:val="18"/>
          <w:color w:val="auto"/>
        </w:rPr>
        <w:t>,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(iii) the undersigned shareholder of SPAC set forth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signature page hereto (“</w:t>
      </w:r>
      <w:r>
        <w:rPr>
          <w:rFonts w:ascii="Times New Roman" w:cs="Times New Roman" w:eastAsia="Times New Roman" w:hAnsi="Times New Roman"/>
          <w:sz w:val="18"/>
          <w:szCs w:val="18"/>
          <w:b w:val="1"/>
          <w:bCs w:val="1"/>
          <w:i w:val="1"/>
          <w:iCs w:val="1"/>
          <w:color w:val="auto"/>
        </w:rPr>
        <w:t>Shareholder</w:t>
      </w:r>
      <w:r>
        <w:rPr>
          <w:rFonts w:ascii="Times New Roman" w:cs="Times New Roman" w:eastAsia="Times New Roman" w:hAnsi="Times New Roman"/>
          <w:sz w:val="18"/>
          <w:szCs w:val="18"/>
          <w:color w:val="auto"/>
        </w:rPr>
        <w:t>”). SPAC, the Sponsor and Shareholder are sometimes referred to herein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W I T N E S S E T H</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Shareholder “beneficially owns” (as such term is defined in Rule 13d-3 promulgated under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is entitled to dispose of (or to direct the disposition of) the number of Class A ordinary shares, par value $0.0001 per share (together with any shares of common stock of SPAC issued for ordinary shares in the Domestication, “</w:t>
      </w:r>
      <w:r>
        <w:rPr>
          <w:rFonts w:ascii="Times New Roman" w:cs="Times New Roman" w:eastAsia="Times New Roman" w:hAnsi="Times New Roman"/>
          <w:sz w:val="18"/>
          <w:szCs w:val="18"/>
          <w:b w:val="1"/>
          <w:bCs w:val="1"/>
          <w:i w:val="1"/>
          <w:i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SPAC as set forth underneath Shareholder’s name on the signature page hereto (such Ordinary Shares, the “</w:t>
      </w:r>
      <w:r>
        <w:rPr>
          <w:rFonts w:ascii="Times New Roman" w:cs="Times New Roman" w:eastAsia="Times New Roman" w:hAnsi="Times New Roman"/>
          <w:sz w:val="18"/>
          <w:szCs w:val="18"/>
          <w:b w:val="1"/>
          <w:bCs w:val="1"/>
          <w:i w:val="1"/>
          <w:iCs w:val="1"/>
          <w:color w:val="auto"/>
        </w:rPr>
        <w:t>Shareholder Shares</w:t>
      </w:r>
      <w:r>
        <w:rPr>
          <w:rFonts w:ascii="Times New Roman" w:cs="Times New Roman" w:eastAsia="Times New Roman" w:hAnsi="Times New Roman"/>
          <w:sz w:val="18"/>
          <w:szCs w:val="18"/>
          <w:color w:val="auto"/>
        </w:rPr>
        <w:t>”), together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any other Ordinary Shares which are directly or indirectly acquired or beneficially owned by Shareholder during the period from and including the date hereof through and including the date on which this Agreement is terminated in accordance with its terms (such period, the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are collectively referred to herein as the “</w:t>
      </w:r>
      <w:r>
        <w:rPr>
          <w:rFonts w:ascii="Times New Roman" w:cs="Times New Roman" w:eastAsia="Times New Roman" w:hAnsi="Times New Roman"/>
          <w:sz w:val="18"/>
          <w:szCs w:val="18"/>
          <w:b w:val="1"/>
          <w:bCs w:val="1"/>
          <w:i w:val="1"/>
          <w:iCs w:val="1"/>
          <w:color w:val="auto"/>
        </w:rPr>
        <w:t>Subject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SPAC is a special purpose acquisition company that, in accordance with its organizational documents and the final prospectus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SPAC, dated as of February 27, 2025, and filed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(File No. 333-284207) on February 28, 2025 (the “</w:t>
      </w:r>
      <w:r>
        <w:rPr>
          <w:rFonts w:ascii="Times New Roman" w:cs="Times New Roman" w:eastAsia="Times New Roman" w:hAnsi="Times New Roman"/>
          <w:sz w:val="18"/>
          <w:szCs w:val="18"/>
          <w:b w:val="1"/>
          <w:bCs w:val="1"/>
          <w:i w:val="1"/>
          <w:iCs w:val="1"/>
          <w:color w:val="auto"/>
        </w:rPr>
        <w:t>IPO Prospectus</w:t>
      </w:r>
      <w:r>
        <w:rPr>
          <w:rFonts w:ascii="Times New Roman" w:cs="Times New Roman" w:eastAsia="Times New Roman" w:hAnsi="Times New Roman"/>
          <w:sz w:val="18"/>
          <w:szCs w:val="18"/>
          <w:color w:val="auto"/>
        </w:rPr>
        <w:t>”), is required to redeem all of its outstanding public shares and dissolve and liquidate if it does not consummate its initial business combination (as such term is used in the IPO Prospectus)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within twenty-one (21) months after the closing of its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(or 24 months from the closing of the IPO if it executes a definitive agreement for an initial business combination within 21 months from the closing the IPO) (subject to extension by SPAC by amendment to its organizational documents);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on November 14, 2025, SPAC entered into that certain Agreement and Plan of Merger (as may be amended, modified, supplemented</w:t>
      </w:r>
    </w:p>
    <w:p>
      <w:pPr>
        <w:spacing w:after="0" w:line="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and/or restated from time to time in accordance with the terms thereof,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SPAC, Catalyst Sub Inc., a Delaware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corporation and a wholly-owned subsidiary of SPAC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Catalyst Sub 2 LLC, a Delaware limited liability company and a wholly-owned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subsidiary of SPAC (“</w:t>
      </w:r>
      <w:r>
        <w:rPr>
          <w:rFonts w:ascii="Times New Roman" w:cs="Times New Roman" w:eastAsia="Times New Roman" w:hAnsi="Times New Roman"/>
          <w:sz w:val="18"/>
          <w:szCs w:val="18"/>
          <w:b w:val="1"/>
          <w:bCs w:val="1"/>
          <w:i w:val="1"/>
          <w:iCs w:val="1"/>
          <w:color w:val="auto"/>
        </w:rPr>
        <w:t>Merger Sub II</w:t>
      </w:r>
      <w:r>
        <w:rPr>
          <w:rFonts w:ascii="Times New Roman" w:cs="Times New Roman" w:eastAsia="Times New Roman" w:hAnsi="Times New Roman"/>
          <w:sz w:val="18"/>
          <w:szCs w:val="18"/>
          <w:color w:val="auto"/>
        </w:rPr>
        <w:t>”), the Sponsor, in its capacity as SPAC Representative thereunder, Brian Gaebe, in the capacity as Seller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Representative thereunder, and Teamshares Inc., a Delaware corporation (together with its successors,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 pursuant to which Merger Agreement,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among other matters (a) SPAC will continue out of the Cayman Islands and become domesticated as a corporation in the state of Delaware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(b) Merger Sub will merge with and into Target (the “</w:t>
      </w:r>
      <w:r>
        <w:rPr>
          <w:rFonts w:ascii="Times New Roman" w:cs="Times New Roman" w:eastAsia="Times New Roman" w:hAnsi="Times New Roman"/>
          <w:sz w:val="18"/>
          <w:szCs w:val="18"/>
          <w:b w:val="1"/>
          <w:bCs w:val="1"/>
          <w:i w:val="1"/>
          <w:iCs w:val="1"/>
          <w:color w:val="auto"/>
        </w:rPr>
        <w:t>First Merger</w:t>
      </w:r>
      <w:r>
        <w:rPr>
          <w:rFonts w:ascii="Times New Roman" w:cs="Times New Roman" w:eastAsia="Times New Roman" w:hAnsi="Times New Roman"/>
          <w:sz w:val="18"/>
          <w:szCs w:val="18"/>
          <w:color w:val="auto"/>
        </w:rPr>
        <w:t>”), with Target surviving such merger as a wholly-owned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subsidiary of SPAC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 and (c) immediately following the First Merger and as part of the same overall transaction as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First Merger, the Surviving Corporation will merge with and into Merger Sub II (the “</w:t>
      </w:r>
      <w:r>
        <w:rPr>
          <w:rFonts w:ascii="Times New Roman" w:cs="Times New Roman" w:eastAsia="Times New Roman" w:hAnsi="Times New Roman"/>
          <w:sz w:val="18"/>
          <w:szCs w:val="18"/>
          <w:b w:val="1"/>
          <w:bCs w:val="1"/>
          <w:i w:val="1"/>
          <w:iCs w:val="1"/>
          <w:color w:val="auto"/>
        </w:rPr>
        <w:t>Second Merger</w:t>
      </w:r>
      <w:r>
        <w:rPr>
          <w:rFonts w:ascii="Times New Roman" w:cs="Times New Roman" w:eastAsia="Times New Roman" w:hAnsi="Times New Roman"/>
          <w:sz w:val="18"/>
          <w:szCs w:val="18"/>
          <w:color w:val="auto"/>
        </w:rPr>
        <w:t>” and together with the First Merger,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Mergers</w:t>
      </w:r>
      <w:r>
        <w:rPr>
          <w:rFonts w:ascii="Times New Roman" w:cs="Times New Roman" w:eastAsia="Times New Roman" w:hAnsi="Times New Roman"/>
          <w:sz w:val="18"/>
          <w:szCs w:val="18"/>
          <w:color w:val="auto"/>
        </w:rPr>
        <w:t>”) upon the terms and subject to the conditions set forth therein, and as a result of which, all of the issued and outstanding capital stock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Target immediately prior to the consummation of the Mergers shall no longer be outstanding and shall automatically be cancelled and shall cease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exist, in exchange for the right to receive shares of common stock, par value $0.0001, of SPAC after giving effect to the Domestication, and certain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outstanding securities of Target convertible or exchangeable for capital stock of Target will be assumed by SPAC and adjusted to issue shares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 of SPAC, in each case subject to the terms and conditions of the Merger Agreement (the Domestication, the Mergers and the 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transactions contemplated by the Merger Agreement, collectively,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and</w:t>
      </w:r>
    </w:p>
    <w:p>
      <w:pPr>
        <w:sectPr>
          <w:pgSz w:w="11900" w:h="16838" w:orient="portrait"/>
          <w:cols w:equalWidth="0" w:num="1">
            <w:col w:w="11024"/>
          </w:cols>
          <w:pgMar w:left="436" w:top="117" w:right="439" w:bottom="1440" w:gutter="0" w:footer="0" w:header="0"/>
        </w:sectPr>
      </w:pPr>
    </w:p>
    <w:bookmarkStart w:id="163" w:name="page164"/>
    <w:bookmarkEnd w:id="163"/>
    <w:p>
      <w:pPr>
        <w:ind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8"/>
          <w:szCs w:val="18"/>
          <w:color w:val="auto"/>
        </w:rPr>
        <w:t>, (i) SPAC and Sponsor entered into that certain Sponsor Letter Agreement (“</w:t>
      </w:r>
      <w:r>
        <w:rPr>
          <w:rFonts w:ascii="Times New Roman" w:cs="Times New Roman" w:eastAsia="Times New Roman" w:hAnsi="Times New Roman"/>
          <w:sz w:val="18"/>
          <w:szCs w:val="18"/>
          <w:b w:val="1"/>
          <w:bCs w:val="1"/>
          <w:i w:val="1"/>
          <w:iCs w:val="1"/>
          <w:color w:val="auto"/>
        </w:rPr>
        <w:t>Sponsor Letter Agreement</w:t>
      </w:r>
      <w:r>
        <w:rPr>
          <w:rFonts w:ascii="Times New Roman" w:cs="Times New Roman" w:eastAsia="Times New Roman" w:hAnsi="Times New Roman"/>
          <w:sz w:val="18"/>
          <w:szCs w:val="18"/>
          <w:color w:val="auto"/>
        </w:rPr>
        <w:t>”) on November 14,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among other things, Sponsor may, solely at its option, use up to 1,150,000 Class B ordinary shares, par value $0.0001 per share, of SPAC that were acquired by the Sponsor prior to the IPO (the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to secure Trust Account non-redemption arrangements and (ii) on April 1, 2026, SPAC, Sponsor, the Company and the other parties thereto entered into an amendment (the “</w:t>
      </w:r>
      <w:r>
        <w:rPr>
          <w:rFonts w:ascii="Times New Roman" w:cs="Times New Roman" w:eastAsia="Times New Roman" w:hAnsi="Times New Roman"/>
          <w:sz w:val="18"/>
          <w:szCs w:val="18"/>
          <w:b w:val="1"/>
          <w:bCs w:val="1"/>
          <w:i w:val="1"/>
          <w:iCs w:val="1"/>
          <w:color w:val="auto"/>
        </w:rPr>
        <w:t>Second Insider Letter Amendment</w:t>
      </w:r>
      <w:r>
        <w:rPr>
          <w:rFonts w:ascii="Times New Roman" w:cs="Times New Roman" w:eastAsia="Times New Roman" w:hAnsi="Times New Roman"/>
          <w:sz w:val="18"/>
          <w:szCs w:val="18"/>
          <w:color w:val="auto"/>
        </w:rPr>
        <w:t>”) to that certain letter agreement dated as of February 27, 2025 (the “</w:t>
      </w:r>
      <w:r>
        <w:rPr>
          <w:rFonts w:ascii="Times New Roman" w:cs="Times New Roman" w:eastAsia="Times New Roman" w:hAnsi="Times New Roman"/>
          <w:sz w:val="18"/>
          <w:szCs w:val="18"/>
          <w:b w:val="1"/>
          <w:bCs w:val="1"/>
          <w:i w:val="1"/>
          <w:iCs w:val="1"/>
          <w:color w:val="auto"/>
        </w:rPr>
        <w:t>Original Insider Letter</w:t>
      </w:r>
      <w:r>
        <w:rPr>
          <w:rFonts w:ascii="Times New Roman" w:cs="Times New Roman" w:eastAsia="Times New Roman" w:hAnsi="Times New Roman"/>
          <w:sz w:val="18"/>
          <w:szCs w:val="18"/>
          <w:color w:val="auto"/>
        </w:rPr>
        <w:t>”) pursuant to which up to 1,150,000 Founder Shares used by the Sponsor to secure Trust Account non-redemption arrangements pursuant to the Sponsor Letter Agreement shall, effective upon the Closing, be released from the transfer restrictions in the Original Insider Letter.</w:t>
      </w:r>
    </w:p>
    <w:p>
      <w:pPr>
        <w:spacing w:after="0" w:line="183" w:lineRule="exact"/>
        <w:rPr>
          <w:sz w:val="20"/>
          <w:szCs w:val="20"/>
          <w:color w:val="auto"/>
        </w:rPr>
      </w:pPr>
    </w:p>
    <w:p>
      <w:pPr>
        <w:ind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premises, representations, warranties, covenants and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and for other good and valuable consideration, the receipt and sufficiency of which are hereby acknowledged, the Parties hereto, intending to be legally bound, hereby agree as follows: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WAIVER AND TRANSFER RESTRICTIONS</w:t>
      </w:r>
    </w:p>
    <w:p>
      <w:pPr>
        <w:spacing w:after="0" w:line="20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Waiver of Redemption Rights</w:t>
      </w:r>
      <w:r>
        <w:rPr>
          <w:rFonts w:ascii="Times New Roman" w:cs="Times New Roman" w:eastAsia="Times New Roman" w:hAnsi="Times New Roman"/>
          <w:sz w:val="18"/>
          <w:szCs w:val="18"/>
          <w:color w:val="auto"/>
        </w:rPr>
        <w:t>. Shareholder hereby waives and agrees not to exercise any right that it may have to elect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SPAC redeem or convert any Subject Shares, whether in connection with the Transactions or any amendment of SPAC’s organizational documents after the date hereof to extend SPAC’s deadline to consummate its Business Combination (an “</w:t>
      </w:r>
      <w:r>
        <w:rPr>
          <w:rFonts w:ascii="Times New Roman" w:cs="Times New Roman" w:eastAsia="Times New Roman" w:hAnsi="Times New Roman"/>
          <w:sz w:val="18"/>
          <w:szCs w:val="18"/>
          <w:b w:val="1"/>
          <w:bCs w:val="1"/>
          <w:i w:val="1"/>
          <w:iCs w:val="1"/>
          <w:color w:val="auto"/>
        </w:rPr>
        <w:t>Extension</w:t>
      </w:r>
      <w:r>
        <w:rPr>
          <w:rFonts w:ascii="Times New Roman" w:cs="Times New Roman" w:eastAsia="Times New Roman" w:hAnsi="Times New Roman"/>
          <w:sz w:val="18"/>
          <w:szCs w:val="18"/>
          <w:color w:val="auto"/>
        </w:rPr>
        <w:t xml:space="preserve">”), and to reverse and revoke any prior redemption or conversion elections made with respect to the Subject Shares. The waiver granted by Shareholder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is irrevocable unless and until this Agreement is terminated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is granted in consideration of SPAC and Sponsor entering into this Agreement and incurring certain related fees and expenses and for other good and valuable consideration, the receipt and sufficiency of which are hereby acknowledged.</w:t>
      </w:r>
    </w:p>
    <w:p>
      <w:pPr>
        <w:spacing w:after="0" w:line="18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Transfer Restrictions</w:t>
      </w:r>
      <w:r>
        <w:rPr>
          <w:rFonts w:ascii="Times New Roman" w:cs="Times New Roman" w:eastAsia="Times New Roman" w:hAnsi="Times New Roman"/>
          <w:sz w:val="18"/>
          <w:szCs w:val="18"/>
          <w:color w:val="auto"/>
        </w:rPr>
        <w:t>. Shareholder hereby covenants and agrees that, during the Term, Shareholder shall not, and shall cause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not to, directly or indirectly, without SPAC’s prior written consent: (i) offer for sale, sell, transfer, tender, pledge, encumber, assign or otherwise dispose of (including by gift) (collectively,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or consent to a Transfer of, any or all of the Subject Shares; (ii) grant any proxies or powers of attorney with respect to any or all of the Subject Shares; (iii) permit to exist any lien of any nature whatsoever with respect to any or all of the Subject Shares; or (iv) take any action that would have the effect of preventing, impeding, interfering with or adversely affecting Shareholder’s ability to perform its obligations under this Agreement.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Acknowledgements</w:t>
      </w:r>
      <w:r>
        <w:rPr>
          <w:rFonts w:ascii="Times New Roman" w:cs="Times New Roman" w:eastAsia="Times New Roman" w:hAnsi="Times New Roman"/>
          <w:sz w:val="18"/>
          <w:szCs w:val="18"/>
          <w:color w:val="auto"/>
        </w:rPr>
        <w:t>. In furtherance of the foregoing restrictions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Shareholder hereby:</w:t>
      </w:r>
    </w:p>
    <w:p>
      <w:pPr>
        <w:spacing w:after="0" w:line="121" w:lineRule="exact"/>
        <w:rPr>
          <w:sz w:val="20"/>
          <w:szCs w:val="20"/>
          <w:color w:val="auto"/>
        </w:rPr>
      </w:pPr>
    </w:p>
    <w:p>
      <w:pPr>
        <w:ind w:right="20" w:firstLine="987"/>
        <w:spacing w:after="0" w:line="254"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SPAC to enter, or cause its transfer agent to enter, a stop transfer order with respect to all of the Subject Shares with respect to any Transfer not permitted hereunder and to include in each book-entry for Subject Shares the following notation, and each certificate (if any) evidencing the Subject Shares shall be stamped or otherwise imprinted with a legend, in substantially the following form: “THE SHARES REPRESENTED HEREBY ARE SUBJECT TO CERTAIN TRANSFER AND NON-REDEMPTION RESTRICTIONS PURSUANT TO THAT CERTAIN NON-REDEMPTION AGREEMENT, DATED AS OF JUNE 5, 2026, BY AND AMONG LIVE OAK ACQUISITION CORP. V (THE “ISSUER”), LIVE OAK SPONSOR V LLC AND THE SHAREHOLDER OF THE ISSUER NAMED THEREIN. ANY TRANSFER OF SUCH SHARES IN VIOLATION OF THE TERMS AND PROVISIONS OF SUCH AGREEMENT SHALL BE NULL AND VOID AND HAVE NO FORCE OR EFFECT WHATSOEVER”;</w:t>
      </w:r>
    </w:p>
    <w:p>
      <w:pPr>
        <w:spacing w:after="0" w:line="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constitutes and appoints SPAC and its designees, with full power of substitution, as its true and lawful agent and</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attorney-in-fact, with full power and authority in its name, place and stead, to revoke any redemption election made with respect to any Subject Shares and to cause SPAC’s transfer agent to fail to redeem such Subject Shares in connection with the Transactions or any Extension; and</w:t>
      </w:r>
    </w:p>
    <w:p>
      <w:pPr>
        <w:spacing w:after="0" w:line="73" w:lineRule="exact"/>
        <w:rPr>
          <w:sz w:val="20"/>
          <w:szCs w:val="20"/>
          <w:color w:val="auto"/>
        </w:rPr>
      </w:pPr>
    </w:p>
    <w:p>
      <w:pPr>
        <w:ind w:right="60" w:firstLine="987"/>
        <w:spacing w:after="0" w:line="261"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(i) of a breach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(ii) that a redemption election is made and not revoked with respect to any Subject Shares (the “</w:t>
      </w:r>
      <w:r>
        <w:rPr>
          <w:rFonts w:ascii="Times New Roman" w:cs="Times New Roman" w:eastAsia="Times New Roman" w:hAnsi="Times New Roman"/>
          <w:sz w:val="18"/>
          <w:szCs w:val="18"/>
          <w:b w:val="1"/>
          <w:bCs w:val="1"/>
          <w:i w:val="1"/>
          <w:iCs w:val="1"/>
          <w:color w:val="auto"/>
        </w:rPr>
        <w:t>Redeemed Shares</w:t>
      </w:r>
      <w:r>
        <w:rPr>
          <w:rFonts w:ascii="Times New Roman" w:cs="Times New Roman" w:eastAsia="Times New Roman" w:hAnsi="Times New Roman"/>
          <w:sz w:val="18"/>
          <w:szCs w:val="18"/>
          <w:color w:val="auto"/>
        </w:rPr>
        <w:t>”), unconditionally and irrevocably agrees to, or cause its affiliate to, if requested in writing by SPAC, subscribe for and purchase, from SPAC (or from its assignee(s) or designee(s), including, if applicable, its equityholders), the same number of such Redeemed Shares, for a per share</w:t>
      </w:r>
    </w:p>
    <w:p>
      <w:pPr>
        <w:sectPr>
          <w:pgSz w:w="11900" w:h="16838" w:orient="portrait"/>
          <w:cols w:equalWidth="0" w:num="1">
            <w:col w:w="11000"/>
          </w:cols>
          <w:pgMar w:left="440" w:top="266" w:right="459" w:bottom="1440" w:gutter="0" w:footer="0" w:header="0"/>
        </w:sectPr>
      </w:pPr>
    </w:p>
    <w:bookmarkStart w:id="164" w:name="page165"/>
    <w:bookmarkEnd w:id="164"/>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price equal to the greater of (A) the amount to be received for each Redeemed Share in connection with such redemption or (B) the dollar volume-weighted average price of the Ordinary Shares on the principal securities exchange or securities market on which the Ordinary Shares are then traded during the period beginning at 9:30:01 a.m., New York time, on the day that is twenty days prior to the date of redemption, and ending at 4:00:00 p.m., New York time, on the day immediately prior to the date of redemption, as reported by Bloomberg through its “HP” function (set to weighted average).</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CONSIDERATION</w:t>
      </w:r>
    </w:p>
    <w:p>
      <w:pPr>
        <w:spacing w:after="0" w:line="20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color w:val="auto"/>
        </w:rPr>
        <w:t>. In consideration of Shareholder’s covenants under this Agreement, subject to Shareholder’s compliance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the Agreement, the Sponsor hereby agrees to transfer upon the Closing to Shareholder a number of Founder Shares as set forth underneath Sponsor’s name on the signature page hereto (such transferred shares, the “</w:t>
      </w:r>
      <w:r>
        <w:rPr>
          <w:rFonts w:ascii="Times New Roman" w:cs="Times New Roman" w:eastAsia="Times New Roman" w:hAnsi="Times New Roman"/>
          <w:sz w:val="18"/>
          <w:szCs w:val="18"/>
          <w:b w:val="1"/>
          <w:bCs w:val="1"/>
          <w:i w:val="1"/>
          <w:iCs w:val="1"/>
          <w:color w:val="auto"/>
        </w:rPr>
        <w:t>Transferred Sponsor Shares</w:t>
      </w:r>
      <w:r>
        <w:rPr>
          <w:rFonts w:ascii="Times New Roman" w:cs="Times New Roman" w:eastAsia="Times New Roman" w:hAnsi="Times New Roman"/>
          <w:sz w:val="18"/>
          <w:szCs w:val="18"/>
          <w:color w:val="auto"/>
        </w:rPr>
        <w:t>”). The Parties each hereby agree that by their execution and delivery of this Agreement, effective upon and subject to the Closing, Shareholder shall become a party to the Amended and Restated Registration Rights Agreement, to be dated as of the date of the Closing (the “</w:t>
      </w:r>
      <w:r>
        <w:rPr>
          <w:rFonts w:ascii="Times New Roman" w:cs="Times New Roman" w:eastAsia="Times New Roman" w:hAnsi="Times New Roman"/>
          <w:sz w:val="18"/>
          <w:szCs w:val="18"/>
          <w:b w:val="1"/>
          <w:bCs w:val="1"/>
          <w:i w:val="1"/>
          <w:iCs w:val="1"/>
          <w:color w:val="auto"/>
        </w:rPr>
        <w:t>Amended and Restated Registration Rights Agreement</w:t>
      </w:r>
      <w:r>
        <w:rPr>
          <w:rFonts w:ascii="Times New Roman" w:cs="Times New Roman" w:eastAsia="Times New Roman" w:hAnsi="Times New Roman"/>
          <w:sz w:val="18"/>
          <w:szCs w:val="18"/>
          <w:color w:val="auto"/>
        </w:rPr>
        <w:t>”), by and among SPAC, Sponsor, the Sponsor Holders (as defined therein), the PIPE Holders (as defined therein) and the Other Holders (as defined therein) party thereto, as a Holder.</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0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automatically terminate, and no Party shall have any rights or obligations hereunder,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shall become null and void and have no effect, upon the earliest to occur of (a) the mutual written consent of the Parties or (b) the termination of the Merger Agreement in accordance with its terms; provided, that: (i) no termination of this Agreement will affect the liability of a Party for any breach of this Agreement prior to termination; and (ii) the provisions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this Agreement will survive any termination of this Agreement and continue indefinitely.</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WARRANTIES AND COVENANTS OF SHAREHOLDER</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Representations, Warranties and Covenants of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 hereby represents, warrants and covenants to each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SPAC and Sponsor as of the date hereof and throughout the Term as follows:</w:t>
      </w:r>
    </w:p>
    <w:p>
      <w:pPr>
        <w:spacing w:after="0" w:line="99" w:lineRule="exact"/>
        <w:rPr>
          <w:sz w:val="20"/>
          <w:szCs w:val="20"/>
          <w:color w:val="auto"/>
        </w:rPr>
      </w:pPr>
    </w:p>
    <w:p>
      <w:pPr>
        <w:ind w:right="20" w:firstLine="987"/>
        <w:spacing w:after="0" w:line="253" w:lineRule="auto"/>
        <w:tabs>
          <w:tab w:leader="none" w:pos="123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has been furnished by or on behalf of SPAC all information (or provided access to all information it reasonably requested) regarding the business and financial condition of SPAC, Target, the expected plans for future business activities and the merits and risks of an investment in the Subject Shares and the Transferred Sponsor Shares which Shareholder has reasonably requested or otherwise needs to evaluate the investment in the Subject Shares and the Transferred Sponsor Shares. Shareholder acknowledges receipt of and has reviewed and understands the following items (the “</w:t>
      </w:r>
      <w:r>
        <w:rPr>
          <w:rFonts w:ascii="Times New Roman" w:cs="Times New Roman" w:eastAsia="Times New Roman" w:hAnsi="Times New Roman"/>
          <w:sz w:val="18"/>
          <w:szCs w:val="18"/>
          <w:b w:val="1"/>
          <w:bCs w:val="1"/>
          <w:i w:val="1"/>
          <w:iCs w:val="1"/>
          <w:color w:val="auto"/>
        </w:rPr>
        <w:t>Disclosure Documents</w:t>
      </w:r>
      <w:r>
        <w:rPr>
          <w:rFonts w:ascii="Times New Roman" w:cs="Times New Roman" w:eastAsia="Times New Roman" w:hAnsi="Times New Roman"/>
          <w:sz w:val="18"/>
          <w:szCs w:val="18"/>
          <w:color w:val="auto"/>
        </w:rPr>
        <w:t>”): (i) the IPO Prospectus, (ii) each filing made by SPAC with the SEC following the filing of the IPO Prospectus through the date of this Agreement; and (iii) the Merger Agreement, a copy of which has been filed by SPAC with the SEC. Shareholder acknowledges that no person or entity has made or makes any representation or warranty to Shareholder in respect of SPAC, the Sponsor, Target, the Subject Shares, the Transferred Sponsor Shares or the Transactions, other than the representations and warranties contained in this Agreement. In making its investment decision to hold and not redeem the Subject Shares and acquire the Transferred Sponsor Shares, Shareholder is relying solely on investigations made by Shareholders and its representatives and the Disclosure Documents.</w:t>
      </w:r>
    </w:p>
    <w:p>
      <w:pPr>
        <w:spacing w:after="0" w:line="86"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acknowledges that the Transferred Sponsor Shares have not been registered for resale under the U.S.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cannot be sold unless registered under the Securities Act and applicable state securities laws or an exemption from such registration is available. Pursuant to the foregoing, Shareholder acknowledges that until such time as the resale of the Transferred Sponsor Shares have been registered under the Securities Act or may otherwise may be sold pursuant to an exemption from registration, any certificates representing (or book-entry recordings of) any Transferred Sponsor Shares shall bear a customary restrictive legend or notation (and a stop-transfer order may be placed against transfer of any certificates</w:t>
      </w:r>
    </w:p>
    <w:p>
      <w:pPr>
        <w:sectPr>
          <w:pgSz w:w="11900" w:h="16838" w:orient="portrait"/>
          <w:cols w:equalWidth="0" w:num="1">
            <w:col w:w="10960"/>
          </w:cols>
          <w:pgMar w:left="440" w:top="270" w:right="499" w:bottom="1440" w:gutter="0" w:footer="0" w:header="0"/>
        </w:sectPr>
      </w:pPr>
    </w:p>
    <w:bookmarkStart w:id="165" w:name="page166"/>
    <w:bookmarkEnd w:id="16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evidencing such Transferred Sponsor Shares) reflecting such limitations in form and substance reasonably acceptable to SPAC. Shareholder acknowledges that the Transferred Sponsor Shares will not immediately be eligible for resale pursuant to Rule 144 promulgated under the Securities Act. Shareholder understands that as a result of the foregoing transfer restrictions (without liming the rights of Shareholder under the Amended Registration Rights Agreement upon the Closing), the Shareholder may not be able to readily resell the Transferred Sponsor Shares and may be required to bear the financial risk of an investment in the Transferred Sponsor Shares for an indefinite period of time. Shareholder understands that it has been advised to consult legal counsel prior to making any offer, resale, pledge or transfer of any of the Transferred Sponsor Shares.</w:t>
      </w:r>
    </w:p>
    <w:p>
      <w:pPr>
        <w:spacing w:after="0" w:line="79" w:lineRule="exact"/>
        <w:rPr>
          <w:sz w:val="20"/>
          <w:szCs w:val="20"/>
          <w:color w:val="auto"/>
        </w:rPr>
      </w:pPr>
    </w:p>
    <w:p>
      <w:pPr>
        <w:ind w:right="20" w:firstLine="987"/>
        <w:spacing w:after="0" w:line="254" w:lineRule="auto"/>
        <w:tabs>
          <w:tab w:leader="none" w:pos="12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if an entity, has been duly formed or incorporated and is validly existing in good standing under the laws of its jurisdiction of incorporation or formation. The execution, delivery and performance by Shareholder of this Agreement are within the powers of Shareholder, have been duly authorized and will not constitute or result in a breach or default under or conflict with any statute, rule or regulation applicable to Shareholder, any order, ruling or regulation of any court or other tribunal or of any governmental commission or agency, or any agreement or other undertaking, to which Shareholder is a party or by which Shareholder is bound, and will not violate any provisions of Shareholder’s organizational documents. This Agreement has been duly authorized, executed and delivered by Shareholder and constitutes a legal, valid and binding obligation of Shareholder enforceable against Shareholder in accordance with its terms, except to the extent that enforceability thereof may be limited by applicable bankruptcy, insolvency, reorganization and moratorium laws and other laws of general application affecting the enforcement of creditors’ rights generally and subject to general principles of equity.</w:t>
      </w:r>
    </w:p>
    <w:p>
      <w:pPr>
        <w:spacing w:after="0" w:line="80"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directly or indirectly through its affiliates, owns the Shareholder Shares, free and clear of any liens (other than imposed by applicable securities laws, SPAC’s organizational documents and this Agreement). There are no proxies, voting rights, shareholders’ agreements or other agreements or understandings, to which Shareholder or its affiliates is a party or bound with respect to the voting or transfer of any Ordinary Shares other than this Agreement.</w:t>
      </w:r>
    </w:p>
    <w:p>
      <w:pPr>
        <w:spacing w:after="0" w:line="71"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and each of its affiliates holding Subject Shares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or a person or entity prohibited by any OFAC sanctions program, (ii) a Designated National as defined in the Cuban Assets Control Regulations, 31 C.F.R. Part 515, or (iii) a non-U.S. shell bank or providing banking services indirectly to a non-U.S. shell bank. Shareholder agrees to, and to cause its affiliates to, provide law enforcement agencies, if requested thereby, such records as required by applicable law, provided that Shareholder or its affiliates, as applicable, is permitted to do so under applicable law. If Shareholder or its affiliates holding Subject Shares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8"/>
          <w:szCs w:val="18"/>
          <w:b w:val="1"/>
          <w:bCs w:val="1"/>
          <w:i w:val="1"/>
          <w:iCs w:val="1"/>
          <w:color w:val="auto"/>
        </w:rPr>
        <w:t>BSA/Patriot Act</w:t>
      </w:r>
      <w:r>
        <w:rPr>
          <w:rFonts w:ascii="Times New Roman" w:cs="Times New Roman" w:eastAsia="Times New Roman" w:hAnsi="Times New Roman"/>
          <w:sz w:val="18"/>
          <w:szCs w:val="18"/>
          <w:color w:val="auto"/>
        </w:rPr>
        <w:t>”), Shareholder and such affiliates, as applicable, maintain policies and procedures reasonably designed to comply with applicable obligations under the BSA/Patriot Act. To the extent required, Shareholder and each of its affiliates holding Subject Shares maintains policies and procedures reasonably designed (i) for the screening of its investors against the OFAC sanctions programs and (ii) to ensure that the funds held by Shareholder and/or its designated purchasing affiliates and used to purchase the Subject Shares were legally derived.</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u w:val="single" w:color="auto"/>
          <w:color w:val="auto"/>
        </w:rPr>
        <w:t>Representations and Warranties of SPAC</w:t>
      </w:r>
      <w:r>
        <w:rPr>
          <w:rFonts w:ascii="Times New Roman" w:cs="Times New Roman" w:eastAsia="Times New Roman" w:hAnsi="Times New Roman"/>
          <w:sz w:val="18"/>
          <w:szCs w:val="18"/>
          <w:color w:val="auto"/>
        </w:rPr>
        <w:t>. SPAC represents and warrants to the Shareholder that:</w:t>
      </w:r>
    </w:p>
    <w:p>
      <w:pPr>
        <w:spacing w:after="0" w:line="121" w:lineRule="exact"/>
        <w:rPr>
          <w:sz w:val="20"/>
          <w:szCs w:val="20"/>
          <w:color w:val="auto"/>
        </w:rPr>
      </w:pPr>
    </w:p>
    <w:p>
      <w:pPr>
        <w:ind w:right="140" w:firstLine="987"/>
        <w:spacing w:after="0" w:line="255" w:lineRule="auto"/>
        <w:tabs>
          <w:tab w:leader="none" w:pos="123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is duly formed, validly existing and in good standing under the laws of the Cayman Islands. SPAC has the corporate power and authority to own, lease and operate its properties and conduct its business as presently conducted and to enter into, deliver and perform its obligations under this Agreement. All corporate action required to be taken by SPAC’s Board of Directors in order to authorize SPAC to enter into this Agreement has been taken by SPAC’s Board of Directors. This Agreement has been duly authorized, executed and delivered by SPAC and is enforceable against SPAC in accordance with its terms, except to the extent that enforceability thereof may be limited by applicable bankruptcy, insolvency, reorganization and moratorium laws and other laws of general application affecting the enforcement of creditors’ rights generally and subject to general principles of equity.</w:t>
      </w:r>
    </w:p>
    <w:p>
      <w:pPr>
        <w:sectPr>
          <w:pgSz w:w="11900" w:h="16838" w:orient="portrait"/>
          <w:cols w:equalWidth="0" w:num="1">
            <w:col w:w="11000"/>
          </w:cols>
          <w:pgMar w:left="440" w:top="270" w:right="459" w:bottom="1440" w:gutter="0" w:footer="0" w:header="0"/>
        </w:sectPr>
      </w:pPr>
    </w:p>
    <w:bookmarkStart w:id="166" w:name="page167"/>
    <w:bookmarkEnd w:id="166"/>
    <w:p>
      <w:pPr>
        <w:ind w:left="4" w:right="20" w:firstLine="987"/>
        <w:spacing w:after="0" w:line="253" w:lineRule="auto"/>
        <w:tabs>
          <w:tab w:leader="none" w:pos="125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Assuming the accuracy of Shareholder’s representations and warranties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execution, delivery and performance of this Agreement and the consummation by SPAC of the transactions that are the subject of this Agreement in compliance herewith will be done in accordance with the rules of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and none of the foregoing will result in (i) a material breach or material violation of any of the terms or provisions of, or constitute a material default under, or result in the creation or imposition of any lien, charge or encumbrance upon any of the property or assets of SPAC or any of its subsidiaries pursuant to the terms of any indenture, mortgage, deed of trust, loan agreement, license, lease or any other agreement or instrument to which SPAC or any of its subsidiaries is a party or by which SPAC or any of its subsidiaries is bound or to which any of the property or assets of SPAC is subject, which would have a material adverse effect on the business, properties, financial condition, shareholders’ equity or results of operations of SPAC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or materially affect the validity of the Subject Shares or the legal authority of SPAC to comply in all material respects with the terms of this Agreement; (ii) any material violation of the provisions of the organizational documents of SPAC; or (iii) any violation of any statute or any judgment, order, rule or regulation of any court or governmental agency or body, domestic or foreign, having jurisdiction over SPAC or any of its properties that would have a Material Adverse Effect or materially affect the validity of the Subject Shares or the legal authority of SPAC to comply with this Agreement.</w:t>
      </w:r>
    </w:p>
    <w:p>
      <w:pPr>
        <w:spacing w:after="0" w:line="77"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(the “</w:t>
      </w:r>
      <w:r>
        <w:rPr>
          <w:rFonts w:ascii="Times New Roman" w:cs="Times New Roman" w:eastAsia="Times New Roman" w:hAnsi="Times New Roman"/>
          <w:sz w:val="18"/>
          <w:szCs w:val="18"/>
          <w:b w:val="1"/>
          <w:bCs w:val="1"/>
          <w:i w:val="1"/>
          <w:iCs w:val="1"/>
          <w:color w:val="auto"/>
        </w:rPr>
        <w:t>SEC Reports</w:t>
      </w:r>
      <w:r>
        <w:rPr>
          <w:rFonts w:ascii="Times New Roman" w:cs="Times New Roman" w:eastAsia="Times New Roman" w:hAnsi="Times New Roman"/>
          <w:sz w:val="18"/>
          <w:szCs w:val="18"/>
          <w:color w:val="auto"/>
        </w:rPr>
        <w:t>”) filed or required to be filed by SPAC with the SEC complied in all material respects with the requirements of the Securities Act and the Exchange Act and the rules and regulations of the SEC promulgated thereunder, and none of the SEC Reports, when filed as of the time of the execution of this Agreement and at the time of the Closing, contained or will contain any untrue statement of a material fact or omitted to state a material fact required to be stated therein or necessary in order to make the statements therein, in the light of the circumstances under which they were made, not misleading. The financial statements of SPAC included in the SEC Reports comply in all material respects with applicable accounting requirements and the rules and regulations of the SEC with respect thereto as in effect at the time of filing and fairly present in all material respects the financial position of SPAC as of and for the dates thereof and the results of operations and cash flows for the periods presented, subject, in the case of unaudited statements, to normal, year-end audit adjustments and the absence of complete footnotes, and SPAC has timely filed with the SEC each SEC Report that SPAC was required to file with the SEC. A copy of each SEC Report is available to Shareholder via the SEC’s EDGAR system.</w:t>
      </w:r>
    </w:p>
    <w:p>
      <w:pPr>
        <w:spacing w:after="0" w:line="81"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25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been disclosed in the Disclosure Documents or that have not had and would not be reasonably expected to have, individually or in the aggregate, a Material Adverse Effect, as of the date hereof, there is no (i) action, suit, claim or other proceeding by or before any governmental or other regulatory or self-regulatory agency, entity or body with authority or jurisdiction over SPAC, pending, or, to the knowledge of SPAC, threatened in writing against SPAC, or (ii) judgment, decree, injunction, ruling or order of any governmental entity or arbitrator outstanding against SPAC.</w:t>
      </w:r>
    </w:p>
    <w:p>
      <w:pPr>
        <w:spacing w:after="0" w:line="75" w:lineRule="exact"/>
        <w:rPr>
          <w:rFonts w:ascii="Times New Roman" w:cs="Times New Roman" w:eastAsia="Times New Roman" w:hAnsi="Times New Roman"/>
          <w:sz w:val="18"/>
          <w:szCs w:val="18"/>
          <w:color w:val="auto"/>
        </w:rPr>
      </w:pPr>
    </w:p>
    <w:p>
      <w:pPr>
        <w:ind w:left="4" w:right="180" w:firstLine="987"/>
        <w:spacing w:after="0" w:line="277" w:lineRule="auto"/>
        <w:tabs>
          <w:tab w:leader="none" w:pos="1240"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the Ordinary Shares are registered pursuant to Section 12(b) of the Exchange Act and are listed for trading on Nasdaq. As of the date hereof, there is no suit, action, proceeding or investigation pending or, to the knowledge of SPAC, threatened in writing against SPAC by Nasdaq or the SEC (and SPAC has not received any written notification of any intention by Nasdaq or the SEC) to deregister such shares or prohibit or terminate the listing of the Ordinary Shares on Nasdaq. Other than as contemplated by the Merger Agreement, SPAC has taken no action intended to result in, or that would reasonably be expected to result in, the termination of the registration of such shares under the Exchange Act.</w:t>
      </w:r>
    </w:p>
    <w:p>
      <w:pPr>
        <w:spacing w:after="0" w:line="59" w:lineRule="exact"/>
        <w:rPr>
          <w:rFonts w:ascii="Times New Roman" w:cs="Times New Roman" w:eastAsia="Times New Roman" w:hAnsi="Times New Roman"/>
          <w:sz w:val="17"/>
          <w:szCs w:val="17"/>
          <w:color w:val="auto"/>
        </w:rPr>
      </w:pPr>
    </w:p>
    <w:p>
      <w:pPr>
        <w:ind w:left="4" w:firstLine="987"/>
        <w:spacing w:after="0" w:line="270" w:lineRule="auto"/>
        <w:tabs>
          <w:tab w:leader="none" w:pos="1220"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SPAC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Agreement (other than (i) filings with the SEC, (ii) filings required by applicable state securities laws, (iii) filings as may be required by the Amended Registration Rights Agreement, (iv) those required by the Nasdaq, (v) any filings pursuant to applicable antitrust laws,</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30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or other approvals, waivers or authorizations required for the consummation of the transactions contemplated by this Agreement that SPAC reasonably expects to receive on or prior to the Closing), in each case the failure of which to obtain would not be reasonably be expected to have, individually or in the aggregate, a Material Adverse Effect or have a material adverse effect on SPAC’s ability to consummate the transactions contemplated hereby.</w:t>
      </w:r>
    </w:p>
    <w:p>
      <w:pPr>
        <w:sectPr>
          <w:pgSz w:w="11900" w:h="16838" w:orient="portrait"/>
          <w:cols w:equalWidth="0" w:num="1">
            <w:col w:w="11004"/>
          </w:cols>
          <w:pgMar w:left="436" w:top="270" w:right="459" w:bottom="1440" w:gutter="0" w:footer="0" w:header="0"/>
        </w:sectPr>
      </w:pPr>
    </w:p>
    <w:bookmarkStart w:id="167" w:name="page168"/>
    <w:bookmarkEnd w:id="167"/>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Representations and Warranties of Sponsor</w:t>
      </w:r>
      <w:r>
        <w:rPr>
          <w:rFonts w:ascii="Times New Roman" w:cs="Times New Roman" w:eastAsia="Times New Roman" w:hAnsi="Times New Roman"/>
          <w:sz w:val="18"/>
          <w:szCs w:val="18"/>
          <w:color w:val="auto"/>
        </w:rPr>
        <w:t>. Sponsor represents and warrants to the Shareholder that:</w:t>
      </w:r>
    </w:p>
    <w:p>
      <w:pPr>
        <w:spacing w:after="0" w:line="121" w:lineRule="exact"/>
        <w:rPr>
          <w:sz w:val="20"/>
          <w:szCs w:val="20"/>
          <w:color w:val="auto"/>
        </w:rPr>
      </w:pPr>
    </w:p>
    <w:p>
      <w:pPr>
        <w:ind w:left="4" w:right="40" w:firstLine="987"/>
        <w:spacing w:after="0" w:line="255" w:lineRule="auto"/>
        <w:tabs>
          <w:tab w:leader="none" w:pos="124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is duly formed, validly existing and in good standing under the laws of the State of Delaware. Sponsor has the limited liability company power and authority to own, lease and operate its properties and conduct its business as presently conducted and to enter into, deliver and perform its obligations under this Agreement. All limited liability company action required to be taken by Sponsor’s managers or managing member in order to authorize Sponsor to enter into this Agreement been taken. This Agreement has been duly authorized, executed and delivered by Sponsor and is enforceable against Sponsor in accordance with its terms, except to the extent that enforceability thereof may be limited by applicable bankruptcy, insolvency, reorganization and moratorium laws and other laws of general application affecting the enforcement of creditors’ rights generally and subject to general principles of equity.</w:t>
      </w:r>
    </w:p>
    <w:p>
      <w:pPr>
        <w:spacing w:after="0" w:line="80"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5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Shareholder’s representations and warranties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execution, delivery and performance of this Agreement and the consummation by Sponsor of the transactions that are the subject of this Agreement in compliance herewith will not result in (i) a material breach or material violation of any of the terms or provisions of, or constitute a material default under, or result in the creation or imposition of any lien, charge or encumbrance upon any of the property or assets of Sponsor or any of its subsidiaries pursuant to the terms of any indenture, mortgage, deed of trust, loan agreement, license, lease or any other agreement or instrument to which Sponsor or any of its subsidiaries is a party or by which Sponsor or any of its subsidiaries is bound or to which any of the property or assets of Sponsor is subject, which would materially affect the legal authority of Sponsor to comply in all material respects with the terms of this Agreement and perform its obligations hereunder; (ii) any material violation of the provisions of the organizational documents of Sponsor; or (iii) any violation of any statute or any judgment, order, rule or regulation of any court or governmental agency or body, domestic or foreign, having jurisdiction over Sponsor or any of its properties that would materially affect the legal authority of Sponsor to comply with this Agreement or perform its obligations hereunder.</w:t>
      </w:r>
    </w:p>
    <w:p>
      <w:pPr>
        <w:spacing w:after="0" w:line="86"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4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that would not materially affect the legal authority of Sponsor to comply with this Agreement or perform its obligations hereunder, as of the date hereof, there is no (i) action, suit, claim or other proceeding by or before any governmental or other regulatory or self-regulatory agency, entity or body with authority or jurisdiction over Sponsor, pending, or, to the knowledge of Sponsor, threatened in writing against Sponsor, or (ii) judgment, decree, injunction, ruling or order of any governmental entity or arbitrator outstanding against Sponsor.</w:t>
      </w:r>
    </w:p>
    <w:p>
      <w:pPr>
        <w:spacing w:after="0" w:line="71" w:lineRule="exact"/>
        <w:rPr>
          <w:rFonts w:ascii="Times New Roman" w:cs="Times New Roman" w:eastAsia="Times New Roman" w:hAnsi="Times New Roman"/>
          <w:sz w:val="18"/>
          <w:szCs w:val="18"/>
          <w:color w:val="auto"/>
        </w:rPr>
      </w:pPr>
    </w:p>
    <w:p>
      <w:pPr>
        <w:ind w:left="4" w:right="240" w:firstLine="987"/>
        <w:spacing w:after="0" w:line="272" w:lineRule="auto"/>
        <w:tabs>
          <w:tab w:leader="none" w:pos="125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Agreement (other than (i) filings with the SEC, (ii) filings required by applicable state securities laws,</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31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required by the Nasdaq, (iv) any filings pursuant to applicable antitrust laws, and (v) consents or other approvals, waivers or authorizations required for the consummation of the transactions contemplated by this Agreement that Sponsor reasonably expects to receive on or prior to the Closing), in each case the failure of which to obtain would not materially affect the legal authority of Sponsor to comply with this Agreement or perform its obligations hereunder.</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3" w:lineRule="exact"/>
        <w:rPr>
          <w:sz w:val="20"/>
          <w:szCs w:val="20"/>
          <w:color w:val="auto"/>
        </w:rPr>
      </w:pPr>
    </w:p>
    <w:p>
      <w:pPr>
        <w:ind w:left="4"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representations, warranties and covenants contained in this Agreement shall survive changes in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instruments described herein, in each case until the end of the Term.</w:t>
      </w:r>
    </w:p>
    <w:p>
      <w:pPr>
        <w:spacing w:after="0" w:line="155"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at the other Party’s request and without further consideration, each Party shall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such additional documents and take all such further action as may be reasonably necessary or desirable to consummate the transactions contemplated by this Agreement.</w:t>
      </w:r>
    </w:p>
    <w:p>
      <w:pPr>
        <w:spacing w:after="0" w:line="171" w:lineRule="exact"/>
        <w:rPr>
          <w:sz w:val="20"/>
          <w:szCs w:val="20"/>
          <w:color w:val="auto"/>
        </w:rPr>
      </w:pPr>
    </w:p>
    <w:p>
      <w:pPr>
        <w:ind w:left="4" w:right="6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Fees and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shall be responsible for its own fees and expenses (including the fees and expenses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bankers, accountants and counsel) in connection with the entering into of this Agreement and the consummation of the transactions contemplated hereby.</w:t>
      </w:r>
    </w:p>
    <w:p>
      <w:pPr>
        <w:sectPr>
          <w:pgSz w:w="11900" w:h="16838" w:orient="portrait"/>
          <w:cols w:equalWidth="0" w:num="1">
            <w:col w:w="11004"/>
          </w:cols>
          <w:pgMar w:left="436" w:top="266" w:right="459" w:bottom="1440" w:gutter="0" w:footer="0" w:header="0"/>
        </w:sectPr>
      </w:pPr>
    </w:p>
    <w:bookmarkStart w:id="168" w:name="page169"/>
    <w:bookmarkEnd w:id="168"/>
    <w:p>
      <w:pPr>
        <w:ind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5.4 </w:t>
      </w:r>
      <w:r>
        <w:rPr>
          <w:rFonts w:ascii="Times New Roman" w:cs="Times New Roman" w:eastAsia="Times New Roman" w:hAnsi="Times New Roman"/>
          <w:sz w:val="18"/>
          <w:szCs w:val="18"/>
          <w:b w:val="1"/>
          <w:bCs w:val="1"/>
          <w:u w:val="single" w:color="auto"/>
          <w:color w:val="auto"/>
        </w:rPr>
        <w:t>No Ownership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contained in this Agreement shall be deemed to vest in SPAC or Sponsor any direct or indirect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or incidence of ownership of or with respect to any Subject Shares.</w:t>
      </w:r>
    </w:p>
    <w:p>
      <w:pPr>
        <w:spacing w:after="0" w:line="15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Amendments, Waivers,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not be amended, changed, supplemented, waived or otherwise modified,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execution and delivery of a written agreement executed by each of the Parties hereto (including Target). The failure of any Party hereto to exercise any right, power or remedy provided under this Agreement or otherwise available in respect hereof at law or in equity, or to insist upon compliance by any other Party hereto with its obligations hereunder, and any custom or practice of the Parties at variance with the terms hereof shall not constitute a waiver by such Party of its right to exercise any such or other right, power or remedy or to demand such compliance.</w:t>
      </w:r>
    </w:p>
    <w:p>
      <w:pPr>
        <w:spacing w:after="0" w:line="179"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requests, claims, demands and other communications hereunder shall be in writing and shall be given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have been duly given upon receipt) by delivery (i) in person, (ii) by email (with affirmative confirmation receipt) or (iii) by registered or certified mail (postage prepaid, return receipt requested) to the respective Parties at the following addresses (or at such other address for a Party as shall be specified by like notice):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If to SPAC, to:</w:t>
            </w:r>
          </w:p>
        </w:tc>
        <w:tc>
          <w:tcPr>
            <w:tcW w:w="7060" w:type="dxa"/>
            <w:vAlign w:val="bottom"/>
            <w:tcBorders>
              <w:top w:val="single" w:sz="8" w:color="auto"/>
            </w:tcBorders>
          </w:tcPr>
          <w:p>
            <w:pPr>
              <w:ind w:left="178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tc>
      </w:tr>
      <w:tr>
        <w:trPr>
          <w:trHeight w:val="29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Live Oak Acquisition Corp. V</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Ellenoff Grossman &amp; Schole LLP</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4921 William Arnold Road</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1345 Avenue of the Americas, 11th Floor</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Memphis, Tennessee 38117</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New York, New York 10105</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Attn: Richard Hendrix</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Telephone: [***]</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Telephone No.: [***]</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Attention: Matthew A. Gray, Esq</w:t>
            </w:r>
          </w:p>
        </w:tc>
      </w:tr>
      <w:tr>
        <w:trPr>
          <w:trHeight w:val="24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 [***]</w:t>
            </w:r>
          </w:p>
        </w:tc>
        <w:tc>
          <w:tcPr>
            <w:tcW w:w="70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Email: [***]</w:t>
            </w:r>
          </w:p>
        </w:tc>
      </w:tr>
      <w:tr>
        <w:trPr>
          <w:trHeight w:val="311"/>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If to the Sponsor, to:</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tc>
      </w:tr>
      <w:tr>
        <w:trPr>
          <w:trHeight w:val="31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Live Oak Sponsor V LLC</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Ellenoff Grossman &amp; Schole LLP</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4921 William Arnold Road</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1345 Avenue of the Americas, 11th Floor</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Memphis, Tennessee 38117</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New York, New York 10105</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Attn: Richard Hendrix</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Telephone: [***]</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Telephone No.: [***]</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Attention: Matthew A. Gray, Esq</w:t>
            </w: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Email: [***]</w:t>
            </w:r>
          </w:p>
        </w:tc>
        <w:tc>
          <w:tcPr>
            <w:tcW w:w="70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Email: [***]</w:t>
            </w: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If to Shareholder, to: </w:t>
      </w:r>
      <w:r>
        <w:rPr>
          <w:rFonts w:ascii="Times New Roman" w:cs="Times New Roman" w:eastAsia="Times New Roman" w:hAnsi="Times New Roman"/>
          <w:sz w:val="18"/>
          <w:szCs w:val="18"/>
          <w:color w:val="auto"/>
        </w:rPr>
        <w:t>the address of Shareholder set forth underneath Shareholder’s name on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6995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term or other provision of this Agreement is invalid, illegal or incapable of being enforced by any rule of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fullest extent possible.</w:t>
      </w:r>
    </w:p>
    <w:p>
      <w:pPr>
        <w:spacing w:after="0" w:line="18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Entire Agreement; Assignment; Third Party Beneficiaries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constitutes the entire agreement among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respect to the subject matter hereof and supersedes all prior agreements and undertakings, both written and oral, among the Parties, or any of them, with respect to the subject matter hereof. This Agreement shall not be assigned by operation of law or otherwise without the prior written consent of the other Parties (including Target). Except as otherwise provided herein, this Agreement shall be binding upon and inure to the benefit of the Parties and their respective heirs, successors and permitted assigns. Shareholder acknowledges and agrees that the Target is a third-party beneficiary of the representations, warranties and covenants of the Shareholder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this Agreement, and that the Target is otherwise an express third-party beneficiary of this Agreement, entitled to enforce the terms hereof against the Shareholder as if it were an original party hereto, and will have the rights of the SPAC hereunder. Other than the Target, this Agreement does not confer any rights or remedies upon any person or entity other than the Parties hereto and their heirs, successors and permitted assigns.</w:t>
      </w:r>
    </w:p>
    <w:p>
      <w:pPr>
        <w:sectPr>
          <w:pgSz w:w="11900" w:h="16838" w:orient="portrait"/>
          <w:cols w:equalWidth="0" w:num="1">
            <w:col w:w="11020"/>
          </w:cols>
          <w:pgMar w:left="440" w:top="266" w:right="439" w:bottom="1440" w:gutter="0" w:footer="0" w:header="0"/>
        </w:sectPr>
      </w:pPr>
    </w:p>
    <w:bookmarkStart w:id="169" w:name="page170"/>
    <w:bookmarkEnd w:id="169"/>
    <w:p>
      <w:pPr>
        <w:ind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5.9 </w:t>
      </w:r>
      <w:r>
        <w:rPr>
          <w:rFonts w:ascii="Times New Roman" w:cs="Times New Roman" w:eastAsia="Times New Roman" w:hAnsi="Times New Roman"/>
          <w:sz w:val="17"/>
          <w:szCs w:val="17"/>
          <w:b w:val="1"/>
          <w:bCs w:val="1"/>
          <w:u w:val="single" w:color="auto"/>
          <w:color w:val="auto"/>
        </w:rPr>
        <w:t>Interpretation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headings contained in this Agreement are for reference purposes only and shall not affect in any way the meaning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interpretation of this Agreement. When reference is made in this Agreement to a Section, such reference shall be to a Section of this Agreement unless otherwise indicated. Whenever the words “include”, “includes” or “including” are used in this Agreement, they shall be deemed to be followed by the words “without limitation.” The words “hereof,” “herein,” “hereby” and “hereunder” and words of similar import when used in this Agreement shall refer to this Agreement as a whole and not to any particular provision of this Agreement. The word “or” shall not be exclusive. Whenever used in this Agreement, any noun or pronoun shall be deemed to include the plural as well as the singular and to cover all genders. This Agreement shall be construed without regard to any presumption or rule requiring construction or interpretation against the Party drafting or causing any instrument to be drafted. For purposes of this Agreement, the term “affiliate” shall have the meaning ascribed to such term in Rule 12b-2 of the Exchange Act (and, for the avoidance of doubt, any reference in this Agreement to an affiliate of SPAC prior to the Business Combination will include the Sponsor).</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Governing Law; Jurisdiction; 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governed by, construed and enforced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New York without regard to the conflict of laws principles thereof. Any action, claim, suit or other legal proceeding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arising out of or relating to this Agreement shall be heard and determined exclusively in any state or federal court located in New York, New York (or in any court in which appeal from such courts may be taken) (the “</w:t>
      </w:r>
      <w:r>
        <w:rPr>
          <w:rFonts w:ascii="Times New Roman" w:cs="Times New Roman" w:eastAsia="Times New Roman" w:hAnsi="Times New Roman"/>
          <w:sz w:val="18"/>
          <w:szCs w:val="18"/>
          <w:b w:val="1"/>
          <w:bCs w:val="1"/>
          <w:i w:val="1"/>
          <w:iCs w:val="1"/>
          <w:color w:val="auto"/>
        </w:rPr>
        <w:t>Specified Courts</w:t>
      </w:r>
      <w:r>
        <w:rPr>
          <w:rFonts w:ascii="Times New Roman" w:cs="Times New Roman" w:eastAsia="Times New Roman" w:hAnsi="Times New Roman"/>
          <w:sz w:val="18"/>
          <w:szCs w:val="18"/>
          <w:color w:val="auto"/>
        </w:rPr>
        <w:t xml:space="preserve">”). Each Party hereto hereby (a) submits to the exclusive jurisdiction of any Specified Court for the purpose of any Proceeding arising out of or relating to this Agreement and (b) irrevocably waives, and agrees not to assert by way of motion, defense or otherwise, in any such Proceeding, any claim that it is not subject personally to the jurisdiction of the above-named courts, that its property is exempt or immune from attachment or execution, that the Proceeding is brought in an inconvenient forum, that the venue of the Proceeding is improper, or that this Agreement or the transactions contemplated hereby may not be enforced in or by any Specified Court. Each Party agrees that a final judgment in any Proceeding shall be conclusive and may be enforced in other jurisdictions by suit on the judgment or in any other manner provided by applicable law. Each Party irrevocably consents to the service of the summons and complaint and any other process in any other Proceeding relating to the transactions contemplated by this Agreement, on behalf of itself, or its property, by personal delivery of copies of such process to such Party at the applicable address set forth in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affect the right of any Party to serve legal process in any other manner permitted by law. E</w:t>
      </w:r>
      <w:r>
        <w:rPr>
          <w:rFonts w:ascii="Times New Roman" w:cs="Times New Roman" w:eastAsia="Times New Roman" w:hAnsi="Times New Roman"/>
          <w:sz w:val="14"/>
          <w:szCs w:val="14"/>
          <w:color w:val="auto"/>
        </w:rPr>
        <w:t>ACH</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ARTY HERETO HEREBY WAIVES TO THE FULLEST EXTENT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 xml:space="preserve">PERMITTED BY APPLICABLE LAW ANY RIGHT IT MAY HAVE TO A TRIAL BY JURY WITH RESPECT TO ANY </w:t>
      </w:r>
      <w:r>
        <w:rPr>
          <w:rFonts w:ascii="Times New Roman" w:cs="Times New Roman" w:eastAsia="Times New Roman" w:hAnsi="Times New Roman"/>
          <w:sz w:val="17"/>
          <w:szCs w:val="17"/>
          <w:color w:val="auto"/>
        </w:rPr>
        <w:t>P</w:t>
      </w:r>
      <w:r>
        <w:rPr>
          <w:rFonts w:ascii="Times New Roman" w:cs="Times New Roman" w:eastAsia="Times New Roman" w:hAnsi="Times New Roman"/>
          <w:sz w:val="14"/>
          <w:szCs w:val="14"/>
          <w:color w:val="auto"/>
        </w:rPr>
        <w:t>ROCEEDING DIRECTLY OR INDIRECTLY ARISING OUT OF</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UNDER OR IN CONNECTION WITH 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4"/>
          <w:szCs w:val="14"/>
          <w:color w:val="auto"/>
        </w:rPr>
        <w:t>GREEMENT OR THE TRANSACTIONS CONTEMPLATED HEREBY</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that irreparable damage would occur in the event that any of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were not performed in accordance with their specific terms or were otherwise breached. Accordingly, each Party shall be entitled to obtain an injunction or restraining order to prevent threatened, actual or continuing breaches of this Agreement and to enforce specifically the terms and provisions hereof, in each case without the requirement to post any bond or other security or to prove actual damages or that money damages would be inadequate, this being in addition to any other right or remedy to which such Party may be entitled under this Agreement, at law or in equity.</w:t>
      </w:r>
    </w:p>
    <w:p>
      <w:pPr>
        <w:spacing w:after="0" w:line="17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No Partnership, Agency or Joint Venture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intended to create a contractual relationship between the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intended to create, and does not create, any agency, partnership, joint venture or any like relationship between or among the Parties hereto. Without limiting the generality of the foregoing sentence, Shareholder (a) is entering into this Agreement solely on its own behalf and shall not have any obligation to perform on behalf of any other holder of Ordinary Shares or any liability (regardless of the legal theory advanced) for any breach of this Agreement by any other holder of Ordinary Shares and (b) by entering into this Agreement does not intend to form a “group” for purposes of Rule</w:t>
      </w:r>
    </w:p>
    <w:p>
      <w:pPr>
        <w:spacing w:after="0" w:line="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13d-5(b)(1) of the Exchange Act or any other similar provision of applicable law. Shareholder has acted independently regarding its decision to enter into this Agreement.</w:t>
      </w:r>
    </w:p>
    <w:p>
      <w:pPr>
        <w:spacing w:after="0" w:line="177"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Waiver against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 understands that, as described in the IPO Prospectus, SPAC has established a trust account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containing the proceeds of its IPO and the overallotment securities acquired by its underwriters and from certain private placements occurring simultaneously with its IPO (including interest accrued from time to time thereon) for the benefit of SPAC’s public shareholders (including overallotment shares acquired by SPAC’s underwriters, the “</w:t>
      </w:r>
      <w:r>
        <w:rPr>
          <w:rFonts w:ascii="Times New Roman" w:cs="Times New Roman" w:eastAsia="Times New Roman" w:hAnsi="Times New Roman"/>
          <w:sz w:val="18"/>
          <w:szCs w:val="18"/>
          <w:b w:val="1"/>
          <w:bCs w:val="1"/>
          <w:i w:val="1"/>
          <w:iCs w:val="1"/>
          <w:color w:val="auto"/>
        </w:rPr>
        <w:t>Public Shareholders</w:t>
      </w:r>
      <w:r>
        <w:rPr>
          <w:rFonts w:ascii="Times New Roman" w:cs="Times New Roman" w:eastAsia="Times New Roman" w:hAnsi="Times New Roman"/>
          <w:sz w:val="18"/>
          <w:szCs w:val="18"/>
          <w:color w:val="auto"/>
        </w:rPr>
        <w:t>”), and that, except as otherwise</w:t>
      </w:r>
    </w:p>
    <w:p>
      <w:pPr>
        <w:sectPr>
          <w:pgSz w:w="11900" w:h="16838" w:orient="portrait"/>
          <w:cols w:equalWidth="0" w:num="1">
            <w:col w:w="11000"/>
          </w:cols>
          <w:pgMar w:left="440" w:top="266" w:right="459" w:bottom="1440" w:gutter="0" w:footer="0" w:header="0"/>
        </w:sectPr>
      </w:pPr>
    </w:p>
    <w:bookmarkStart w:id="170" w:name="page171"/>
    <w:bookmarkEnd w:id="17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described in the IPO Prospectus, SPAC may disburse monies from the Trust Account only: (a) to the Public Shareholders in the event they elect to redeem their Ordinary Shares in connection with any shareholder vote on a proposed Business Combination but only in the event that the applicable Business Combination is approved and consummated and subject to the limitations contained in the SPAC organizational documents; (b) to the Public Shareholders who elect to have their Ordinary Shares repurchased by means of a tender offer subject to the provisions contained in the SPAC organizational documents; (c) to the Public Shareholders if any amendment is made to the SPAC’s organizational documents prior to the consummation of the Business Combination (i) to modify the substance or timing of SPAC’s obligations to allow redemption in connection with a Business Combination or to redeem 100% of the Ordinary Shares if SPAC has not consummated a Business Combination within twenty one (21) months after the closing of the IPO (or 24 months from the closing of the IPO if it executes a definitive agreement for an initial business combination within 21 months from the closing the IPO); (ii) with respect to any other material provisions relating to the rights of holders of SPAC Ordinary Shares; or (iii) pre-initial Business Combination activity upon the effectiveness of any such amendment; (d) to the Public Shareholders if SPAC fails to consummate a Business Combination within twenty one (21) months after the closing of the IPO (or 24 months from the closing of the IPO if it executes a definitive agreement for an initial business combination within 21 months from the closing the IPO), and subject to extension by amendment to SPAC’s organizational documents, including interest earned on the amounts held in the Trust Account (which interest shall be net of, taxes payable and less up to $100,000 of interest to pay dissolution expenses), and (e) to SPAC after or concurrently with the consummation of a Business Combination. For and in consideration of SPAC entering into this Agreement, and for other good and valuable consideration, the receipt and sufficiency of which is hereby acknowledged, Shareholder hereby agrees on behalf of itself and its affiliates that, notwithstanding anything to the contrary in this Agreement, neither Shareholder nor any of its affiliates do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other matter, and regardless of whether such claim arises based on contract, tort, equity or any other theory of legal liability (collectively, the “</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xml:space="preserve">”). Shareholder on behalf of itself and its affiliates hereby irrevocably waives any Released Claims that Shareholder or any of its affiliates may have against the Trust Account (including any distributions therefrom) now or in the future and will not seek recourse against the Trust Account (including any distributions therefrom) for any reason whatsoever. Shareholder agrees and acknowledges that such irrevocable waiver is material to this Agreement and specifically relied upon by SPAC and its affiliates to induce SPAC to enter into this Agreement, and Shareholder further intends and understands such waiver to be valid, binding and enforceable against Shareholder and each of its affiliates under applicable law. Notwithstanding the foregoing,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not prevent Shareholder or its affiliates in the capacity as a Public Shareholder from receiving funds from the Trust Account after the termination of this Agreement upon the redemption of Shareholder’s or its affiliates’ Ordinary Shares or upon the liquidation of SPAC.</w:t>
      </w:r>
    </w:p>
    <w:p>
      <w:pPr>
        <w:spacing w:after="0" w:line="199" w:lineRule="exact"/>
        <w:rPr>
          <w:sz w:val="20"/>
          <w:szCs w:val="20"/>
          <w:color w:val="auto"/>
        </w:rPr>
      </w:pPr>
    </w:p>
    <w:p>
      <w:pPr>
        <w:ind w:right="6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counterparts (including by facsimile or pdf or other electronic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each of which when executed shall be deemed to be an original but all of which taken together shall constitute one and the same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ectPr>
          <w:pgSz w:w="11900" w:h="16838" w:orient="portrait"/>
          <w:cols w:equalWidth="0" w:num="1">
            <w:col w:w="11000"/>
          </w:cols>
          <w:pgMar w:left="440" w:top="270" w:right="459" w:bottom="1440" w:gutter="0" w:footer="0" w:header="0"/>
        </w:sectPr>
      </w:pPr>
    </w:p>
    <w:bookmarkStart w:id="171" w:name="page172"/>
    <w:bookmarkEnd w:id="1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Non-Redemption Agreement to be duly executed as of the date first set forth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 Oak Acquisition Corp. 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Richard J. Hendrix</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Sponsor: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 Oak Sponsor 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Richard J. Hendrix</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Number of Transferred Sponsor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2100580</wp:posOffset>
            </wp:positionH>
            <wp:positionV relativeFrom="paragraph">
              <wp:posOffset>-7620</wp:posOffset>
            </wp:positionV>
            <wp:extent cx="285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Shareholder: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Name(s)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-7620</wp:posOffset>
            </wp:positionV>
            <wp:extent cx="285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Shareholder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-6350</wp:posOffset>
            </wp:positionV>
            <wp:extent cx="285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-7620</wp:posOffset>
            </wp:positionV>
            <wp:extent cx="285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Address for Notice to Shareholder:</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68065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171450</wp:posOffset>
            </wp:positionV>
            <wp:extent cx="68065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680656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290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Attention:</w:t>
            </w:r>
          </w:p>
        </w:tc>
        <w:tc>
          <w:tcPr>
            <w:tcW w:w="74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bottom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2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Email:</w:t>
            </w:r>
          </w:p>
        </w:tc>
        <w:tc>
          <w:tcPr>
            <w:tcW w:w="746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196"/>
        </w:trPr>
        <w:tc>
          <w:tcPr>
            <w:tcW w:w="2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Telephone No.:</w:t>
            </w:r>
          </w:p>
        </w:tc>
        <w:tc>
          <w:tcPr>
            <w:tcW w:w="746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bottom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345"/>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Shareholder Shares:</w:t>
            </w:r>
          </w:p>
        </w:tc>
        <w:tc>
          <w:tcPr>
            <w:tcW w:w="7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2900" w:type="dxa"/>
            <w:vAlign w:val="bottom"/>
          </w:tcPr>
          <w:p>
            <w:pPr>
              <w:spacing w:after="0"/>
              <w:rPr>
                <w:sz w:val="24"/>
                <w:szCs w:val="24"/>
                <w:color w:val="auto"/>
              </w:rPr>
            </w:pPr>
          </w:p>
        </w:tc>
        <w:tc>
          <w:tcPr>
            <w:tcW w:w="75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Non-Redemption Agreement}</w:t>
            </w: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-299720</wp:posOffset>
            </wp:positionV>
            <wp:extent cx="285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the Chief Accountant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read the statements of Teamshares Inc. (f/k/a Live Oak Acquisition Corp. V) included under Item 4.01 of its Form 8-K dated June 25, 2026. We agree with the statements concerning our Firm under Item 4.01 of that Form 8-K. We are not in a position to agree or disagree with other statements contained therein.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WithumSmith+Brown, PC</w:t>
      </w:r>
    </w:p>
    <w:p>
      <w:pPr>
        <w:sectPr>
          <w:pgSz w:w="11900" w:h="16838" w:orient="portrait"/>
          <w:cols w:equalWidth="0" w:num="1">
            <w:col w:w="11020"/>
          </w:cols>
          <w:pgMar w:left="440" w:top="117" w:right="4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5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Subsidiaries of Registrant*</w:t>
            </w:r>
          </w:p>
        </w:tc>
      </w:tr>
      <w:tr>
        <w:trPr>
          <w:trHeight w:val="394"/>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8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352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Teamshares LLC</w:t>
            </w: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5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Teamshares Continuity Holdings, LLC</w:t>
            </w: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5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Delaware</w:t>
            </w:r>
          </w:p>
        </w:tc>
      </w:tr>
      <w:tr>
        <w:trPr>
          <w:trHeight w:val="45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All subsidiaries are wholly owned by the Registrant</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020"/>
          </w:cols>
          <w:pgMar w:left="440" w:top="117" w:right="4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For purposes solely of this “Unaudited Pro Forma Condensed Combined Financial Information” section, the term “Management” refers to Teamshares management prior to the Closing (as defined below) and management of the Combined Company after the Closing.</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presents the combination of the historical financial statements of Live Oak and Teamshares, adjusted to implement the Business Combination and certain transactions contemplated in connection with the Business Combination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The unaudited pro forma condensed combined financial information has been prepared in accordance with Article 11 of Regulation S-X. Capitalized terms used but not otherwise defined herein shall have the meanings ascribed to such terms in the definitive proxy statement and final prospectus, dated May 27, 2026 (the “</w:t>
      </w:r>
      <w:r>
        <w:rPr>
          <w:rFonts w:ascii="Times New Roman" w:cs="Times New Roman" w:eastAsia="Times New Roman" w:hAnsi="Times New Roman"/>
          <w:sz w:val="18"/>
          <w:szCs w:val="18"/>
          <w:b w:val="1"/>
          <w:bCs w:val="1"/>
          <w:color w:val="auto"/>
        </w:rPr>
        <w:t>Proxy Statement/Prospectus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combines the historical balance sheet of Live Oak as of March 31, 2026 with the historical balance sheet of Teamshares as of March 31, 2026 on a pro forma basis as if the Business Combination had been consummated on March 31, 2026.</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2026 combines the historical statement of operations of Live Oak for the three months ended March 31, 2026 and the historical statement of operations of Teamshares for the three months ended March 31, 2026. The unaudited pro forma condensed combined statement of operations for the year ended December 31, 2025 combines the historical statement of operations of Live Oak for the year ended December 31, 2025 and the historical statement of operations of Teamshares for the year ended December 31, 2025 on a pro forma basis, giving effect to the Business Combination and related transactions as if they had been consummated on January 1, 2025.</w:t>
      </w:r>
    </w:p>
    <w:p>
      <w:pPr>
        <w:spacing w:after="0" w:line="18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the accompanying notes, which are included elsewhere in this Proxy Statement/Prospectus:</w:t>
      </w:r>
    </w:p>
    <w:p>
      <w:pPr>
        <w:spacing w:after="0" w:line="67" w:lineRule="exact"/>
        <w:rPr>
          <w:sz w:val="20"/>
          <w:szCs w:val="20"/>
          <w:color w:val="auto"/>
        </w:rPr>
      </w:pPr>
    </w:p>
    <w:p>
      <w:pPr>
        <w:ind w:left="960" w:hanging="424"/>
        <w:spacing w:after="0"/>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information;</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interim condensed financial statements of Live Oak as of March 31, 2026 and for the three months ended March 31, 2026, and the historical audited financial statements of Live Oak as of and for the year ended December 31, 2025</w:t>
      </w:r>
    </w:p>
    <w:p>
      <w:pPr>
        <w:spacing w:after="0" w:line="67" w:lineRule="exact"/>
        <w:rPr>
          <w:rFonts w:ascii="Times New Roman" w:cs="Times New Roman" w:eastAsia="Times New Roman" w:hAnsi="Times New Roman"/>
          <w:sz w:val="18"/>
          <w:szCs w:val="18"/>
          <w:color w:val="auto"/>
        </w:rPr>
      </w:pPr>
    </w:p>
    <w:p>
      <w:pPr>
        <w:ind w:left="960" w:right="100" w:hanging="424"/>
        <w:spacing w:after="0" w:line="312" w:lineRule="auto"/>
        <w:tabs>
          <w:tab w:leader="none" w:pos="96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unaudited interim condensed consolidated financial statements of Teamshares as of March 31, 2026 and for the three months ended March 31, 2026, and the historical audited financial statements of Teamshares as of and for the year ended December 31, 2025 and</w:t>
      </w:r>
    </w:p>
    <w:p>
      <w:pPr>
        <w:spacing w:after="0" w:line="45" w:lineRule="exact"/>
        <w:rPr>
          <w:rFonts w:ascii="Times New Roman" w:cs="Times New Roman" w:eastAsia="Times New Roman" w:hAnsi="Times New Roman"/>
          <w:sz w:val="17"/>
          <w:szCs w:val="17"/>
          <w:color w:val="auto"/>
        </w:rPr>
      </w:pPr>
    </w:p>
    <w:p>
      <w:pPr>
        <w:ind w:left="960" w:right="540" w:hanging="424"/>
        <w:spacing w:after="0" w:line="282" w:lineRule="auto"/>
        <w:tabs>
          <w:tab w:leader="none" w:pos="9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relating to Teamshares and Live Oak included in this Proxy Statement/Prospectus, including the description of the Merger Agreement and the transactions contemplated in the section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also be read together with “Management’s Discussion and Analysis of Financial Condition and Results of Operations of Live Oak” and “Management’s Discussion and Analysis of Financial Condition and Results of Operations of Teamshares” included elsewhere in this Proxy Statement/Prospectus. Unless otherwise stated, the pro forma share calculations and ownership information incorporate the information and assumptions set forth in the section of this Proxy Statement/Prospectus entitled “</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Calculations and Ownership Percentages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presented for illustrative purposes only and do not necessarily reflect what Teamshares’ financial condition or results of operations would have been had the Business Combination been consummated on the dates indicated. The unaudited pro forma condensed combined financial information also may not be useful in predicting the future financial condition and results of operations of the Combined Company. The unaudited pro forma condensed combined financial statements include certain assumptions, which may ultimately not come to fruition. The actual financial position and results of operations may differ significantly from the pro forma amounts reflected herein due to a variety of factors. The unaudited pro forma adjustments and the assumptions included in these unaudited pro forma condensed combined financial statements represent management’s estimates based on information available as of the date of these unaudited pro forma condensed combined financial statements and are subject to change as additional information becomes available and analyses are performed.</w:t>
      </w:r>
    </w:p>
    <w:p>
      <w:pPr>
        <w:sectPr>
          <w:pgSz w:w="11900" w:h="16838" w:orient="portrait"/>
          <w:cols w:equalWidth="0" w:num="1">
            <w:col w:w="11020"/>
          </w:cols>
          <w:pgMar w:left="440" w:top="117" w:right="439" w:bottom="1440" w:gutter="0" w:footer="0" w:header="0"/>
        </w:sectPr>
      </w:pPr>
    </w:p>
    <w:bookmarkStart w:id="175" w:name="page176"/>
    <w:bookmarkEnd w:id="17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describes the above entities: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Live Oak</w:t>
      </w:r>
    </w:p>
    <w:p>
      <w:pPr>
        <w:spacing w:after="0" w:line="12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Live Oak is a special purpose acquisition company incorporated as an exempted company under the laws of the Cayman Islands on November 27, 2024, for the purpose of effecting a merger, amalgamation, share exchange, asset acquisition, share purchase, reorganization or similar business combination with one or more businesses. Live Oak has neither engaged in any operations nor generated any revenue to date.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Teamshares</w:t>
      </w:r>
    </w:p>
    <w:p>
      <w:pPr>
        <w:spacing w:after="0" w:line="12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Teamshares Inc. is a Delaware corporation formed on June 28, 2019. Teamshares is a tech-enabled acquiror of small-to-medium sized businesses, which become Operating Subsidiaries of Teamshares upon acquisition. Teamshares was formed to create a platform to programmatically acquire companies from retiring owners, integrate them with the Teamshares platform, and help employees earn company stock.</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Description of the Transactions</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On November 14, 2025, Live Oak, Merger Sub, Merger Sub II and Teamshares entered into the Original Merger Agreement. On April 1, 2026, the parties entered into the First Amendment to the Original Merger Agreement (the “</w:t>
      </w:r>
      <w:r>
        <w:rPr>
          <w:rFonts w:ascii="Times New Roman" w:cs="Times New Roman" w:eastAsia="Times New Roman" w:hAnsi="Times New Roman"/>
          <w:sz w:val="18"/>
          <w:szCs w:val="18"/>
          <w:b w:val="1"/>
          <w:bCs w:val="1"/>
          <w:color w:val="auto"/>
        </w:rPr>
        <w:t>First MA Amendment</w:t>
      </w:r>
      <w:r>
        <w:rPr>
          <w:rFonts w:ascii="Times New Roman" w:cs="Times New Roman" w:eastAsia="Times New Roman" w:hAnsi="Times New Roman"/>
          <w:sz w:val="18"/>
          <w:szCs w:val="18"/>
          <w:color w:val="auto"/>
        </w:rPr>
        <w:t>”) and on May 13, 2026 the parties entered into the Second Amendment to the Original Merger Agreement (the “</w:t>
      </w:r>
      <w:r>
        <w:rPr>
          <w:rFonts w:ascii="Times New Roman" w:cs="Times New Roman" w:eastAsia="Times New Roman" w:hAnsi="Times New Roman"/>
          <w:sz w:val="18"/>
          <w:szCs w:val="18"/>
          <w:b w:val="1"/>
          <w:bCs w:val="1"/>
          <w:color w:val="auto"/>
        </w:rPr>
        <w:t>Second MA Amendment</w:t>
      </w:r>
      <w:r>
        <w:rPr>
          <w:rFonts w:ascii="Times New Roman" w:cs="Times New Roman" w:eastAsia="Times New Roman" w:hAnsi="Times New Roman"/>
          <w:sz w:val="18"/>
          <w:szCs w:val="18"/>
          <w:color w:val="auto"/>
        </w:rPr>
        <w:t>” and, collectively with the Original Merger Agreement and the First MA Amendment,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On June 16, 2026, the Business Combination was approved by a Live Oak shareholder vote. The Business Combination was completed on June 18, 2026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Following the Closing, the Combined Company is the publicly traded parent company, and its common stock and warrants are listed on Nasdaq under the ticker symbol “TMS” and “TMSWW”, respectively. As a result of the Business Combination, and upon the Closing, pursuant to the Merger Agreement, among other things:</w:t>
      </w:r>
    </w:p>
    <w:p>
      <w:pPr>
        <w:spacing w:after="0" w:line="94" w:lineRule="exact"/>
        <w:rPr>
          <w:sz w:val="20"/>
          <w:szCs w:val="20"/>
          <w:color w:val="auto"/>
        </w:rPr>
      </w:pPr>
    </w:p>
    <w:p>
      <w:pPr>
        <w:ind w:left="1424" w:right="20" w:hanging="439"/>
        <w:spacing w:after="0" w:line="258" w:lineRule="auto"/>
        <w:tabs>
          <w:tab w:leader="none" w:pos="14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capital stock of the Company as of immediately prior to the First Effective Time were automatically cancelled in exchange for the right for each Company Stockholder to receive its Pro Rata Share of the Stockholder Merger Consideration (after giving effect to Liquidation Preference Elections and, thereafter, giving effect to the Company Preferred Stock Exchange or otherwise treating shares of Company Preferred Stock on an as-converted to Company Common Stock basis, but excluding Company Treasury Shares);</w:t>
      </w:r>
    </w:p>
    <w:p>
      <w:pPr>
        <w:spacing w:after="0" w:line="88" w:lineRule="exact"/>
        <w:rPr>
          <w:rFonts w:ascii="Times New Roman" w:cs="Times New Roman" w:eastAsia="Times New Roman" w:hAnsi="Times New Roman"/>
          <w:sz w:val="18"/>
          <w:szCs w:val="18"/>
          <w:color w:val="auto"/>
        </w:rPr>
      </w:pPr>
    </w:p>
    <w:p>
      <w:pPr>
        <w:ind w:left="1424" w:right="20" w:hanging="439"/>
        <w:spacing w:after="0" w:line="261" w:lineRule="auto"/>
        <w:tabs>
          <w:tab w:leader="none" w:pos="14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Options outstanding and in-the-money (as defined in the Merger Agreement) as of immediately prior to the First Effective Time were assumed by Live Oak and replaced with options exercisable for shares of Combined Company Common Stock, subject to adjustments to the exercise prices and number of underlying shares, in each case in accordance with the terms of the Merger Agreement; and</w:t>
      </w:r>
    </w:p>
    <w:p>
      <w:pPr>
        <w:spacing w:after="0" w:line="85" w:lineRule="exact"/>
        <w:rPr>
          <w:rFonts w:ascii="Times New Roman" w:cs="Times New Roman" w:eastAsia="Times New Roman" w:hAnsi="Times New Roman"/>
          <w:sz w:val="18"/>
          <w:szCs w:val="18"/>
          <w:color w:val="auto"/>
        </w:rPr>
      </w:pPr>
    </w:p>
    <w:p>
      <w:pPr>
        <w:ind w:left="1424" w:right="40" w:hanging="439"/>
        <w:spacing w:after="0" w:line="266" w:lineRule="auto"/>
        <w:tabs>
          <w:tab w:leader="none" w:pos="14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Participants, as defined in the Merger Agreement, have a contingent right to receive certain Earnout Shares, subject to satisfaction of relevant conditions, if any such Earnout Shares are issued during the Earnout Period in accordance with the terms and subject to the conditions set forth in the Merger Agreement.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21"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The Merger Agreement provides that, following the Closing, eligible Earnout Participants (comprised of former Teamshares Stockholders (excluding any Liquidation Preference Electing Holders relative to Liquidation Preference Shares) and Company Optionholders who satisfy the Eligibility Conditions as of immediately prior to an Earnout Trigger Date, as further described below, may have the contingent right to receive up to an additional 6,000,000 shares of Combined Company Common Stock (the “</w:t>
      </w:r>
      <w:r>
        <w:rPr>
          <w:rFonts w:ascii="Times New Roman" w:cs="Times New Roman" w:eastAsia="Times New Roman" w:hAnsi="Times New Roman"/>
          <w:sz w:val="17"/>
          <w:szCs w:val="17"/>
          <w:b w:val="1"/>
          <w:bCs w:val="1"/>
          <w:color w:val="auto"/>
        </w:rPr>
        <w:t>Earnout Shares</w:t>
      </w:r>
      <w:r>
        <w:rPr>
          <w:rFonts w:ascii="Times New Roman" w:cs="Times New Roman" w:eastAsia="Times New Roman" w:hAnsi="Times New Roman"/>
          <w:sz w:val="17"/>
          <w:szCs w:val="17"/>
          <w:color w:val="auto"/>
        </w:rPr>
        <w:t>”) in the event that, during the post-Closing period ending on the fifth anniversary of the Closing Date (the “</w:t>
      </w:r>
      <w:r>
        <w:rPr>
          <w:rFonts w:ascii="Times New Roman" w:cs="Times New Roman" w:eastAsia="Times New Roman" w:hAnsi="Times New Roman"/>
          <w:sz w:val="17"/>
          <w:szCs w:val="17"/>
          <w:b w:val="1"/>
          <w:bCs w:val="1"/>
          <w:color w:val="auto"/>
        </w:rPr>
        <w:t>Earnout Period</w:t>
      </w:r>
      <w:r>
        <w:rPr>
          <w:rFonts w:ascii="Times New Roman" w:cs="Times New Roman" w:eastAsia="Times New Roman" w:hAnsi="Times New Roman"/>
          <w:sz w:val="17"/>
          <w:szCs w:val="17"/>
          <w:color w:val="auto"/>
        </w:rPr>
        <w:t>”), the volume weighted average trading prices (“</w:t>
      </w:r>
      <w:r>
        <w:rPr>
          <w:rFonts w:ascii="Times New Roman" w:cs="Times New Roman" w:eastAsia="Times New Roman" w:hAnsi="Times New Roman"/>
          <w:sz w:val="17"/>
          <w:szCs w:val="17"/>
          <w:b w:val="1"/>
          <w:bCs w:val="1"/>
          <w:color w:val="auto"/>
        </w:rPr>
        <w:t>VWAP</w:t>
      </w:r>
      <w:r>
        <w:rPr>
          <w:rFonts w:ascii="Times New Roman" w:cs="Times New Roman" w:eastAsia="Times New Roman" w:hAnsi="Times New Roman"/>
          <w:sz w:val="17"/>
          <w:szCs w:val="17"/>
          <w:color w:val="auto"/>
        </w:rPr>
        <w:t>”) of shares of Combined Company Common Stock meets or exceeds certain trading-price based “Trigger Events” or upon the occurrence of a “</w:t>
      </w:r>
      <w:r>
        <w:rPr>
          <w:rFonts w:ascii="Times New Roman" w:cs="Times New Roman" w:eastAsia="Times New Roman" w:hAnsi="Times New Roman"/>
          <w:sz w:val="17"/>
          <w:szCs w:val="17"/>
          <w:b w:val="1"/>
          <w:bCs w:val="1"/>
          <w:color w:val="auto"/>
        </w:rPr>
        <w:t>Qualifying Change of Control</w:t>
      </w:r>
      <w:r>
        <w:rPr>
          <w:rFonts w:ascii="Times New Roman" w:cs="Times New Roman" w:eastAsia="Times New Roman" w:hAnsi="Times New Roman"/>
          <w:sz w:val="17"/>
          <w:szCs w:val="17"/>
          <w:color w:val="auto"/>
        </w:rPr>
        <w:t>” Transaction (defined under the Merger Agreement as change of control transaction in which the implied price per share of Combined Company Common Stock equals or exceeds $12.00 per share) (the occurrence of any of the foregoing trading-price based trigger events or a Qualifying Change of Control, a “</w:t>
      </w:r>
      <w:r>
        <w:rPr>
          <w:rFonts w:ascii="Times New Roman" w:cs="Times New Roman" w:eastAsia="Times New Roman" w:hAnsi="Times New Roman"/>
          <w:sz w:val="17"/>
          <w:szCs w:val="17"/>
          <w:b w:val="1"/>
          <w:bCs w:val="1"/>
          <w:color w:val="auto"/>
        </w:rPr>
        <w:t>Triggering Event</w:t>
      </w:r>
      <w:r>
        <w:rPr>
          <w:rFonts w:ascii="Times New Roman" w:cs="Times New Roman" w:eastAsia="Times New Roman" w:hAnsi="Times New Roman"/>
          <w:sz w:val="17"/>
          <w:szCs w:val="17"/>
          <w:color w:val="auto"/>
        </w:rPr>
        <w:t>”). Earnout Participants include Teamshares Stockholders as of immediately prior to the First Effective Time (excluding Liquidation Preference Electing Holders relative to Liquidation Preference Shares) and “</w:t>
      </w:r>
      <w:r>
        <w:rPr>
          <w:rFonts w:ascii="Times New Roman" w:cs="Times New Roman" w:eastAsia="Times New Roman" w:hAnsi="Times New Roman"/>
          <w:sz w:val="17"/>
          <w:szCs w:val="17"/>
          <w:b w:val="1"/>
          <w:bCs w:val="1"/>
          <w:color w:val="auto"/>
        </w:rPr>
        <w:t>Eligible Optionholders</w:t>
      </w:r>
      <w:r>
        <w:rPr>
          <w:rFonts w:ascii="Times New Roman" w:cs="Times New Roman" w:eastAsia="Times New Roman" w:hAnsi="Times New Roman"/>
          <w:sz w:val="17"/>
          <w:szCs w:val="17"/>
          <w:color w:val="auto"/>
        </w:rPr>
        <w:t>,” which are holders of Assumed Options who (i) were employed by, or in service with, Teamshares or its subsidiaries as of immediately following the First Effective Time, and</w:t>
      </w:r>
    </w:p>
    <w:p>
      <w:pPr>
        <w:spacing w:after="0" w:line="2" w:lineRule="exact"/>
        <w:rPr>
          <w:sz w:val="20"/>
          <w:szCs w:val="20"/>
          <w:color w:val="auto"/>
        </w:rPr>
      </w:pPr>
    </w:p>
    <w:p>
      <w:pPr>
        <w:ind w:left="4" w:right="40" w:hanging="4"/>
        <w:spacing w:after="0" w:line="260" w:lineRule="auto"/>
        <w:tabs>
          <w:tab w:leader="none" w:pos="26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continuously employed by, or in service with, the Combined Company or its subsidiaries from the Closing Date until immediately prior to an applicable Triggering Event (the “</w:t>
      </w:r>
      <w:r>
        <w:rPr>
          <w:rFonts w:ascii="Times New Roman" w:cs="Times New Roman" w:eastAsia="Times New Roman" w:hAnsi="Times New Roman"/>
          <w:sz w:val="18"/>
          <w:szCs w:val="18"/>
          <w:b w:val="1"/>
          <w:bCs w:val="1"/>
          <w:color w:val="auto"/>
        </w:rPr>
        <w:t>Eligibility Condition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76" w:name="page177"/>
    <w:bookmarkEnd w:id="176"/>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Earnout Period, Earnout Participants may receive their respective Earnout Pro Rata Share of an aggregate of up to 6,000,000 Earnout Shares, in the event that the following conditions are satisfied during the Earnout Period:</w:t>
      </w:r>
    </w:p>
    <w:p>
      <w:pPr>
        <w:spacing w:after="0" w:line="67" w:lineRule="exact"/>
        <w:rPr>
          <w:sz w:val="20"/>
          <w:szCs w:val="20"/>
          <w:color w:val="auto"/>
        </w:rPr>
      </w:pPr>
    </w:p>
    <w:p>
      <w:pPr>
        <w:ind w:left="960" w:hanging="532"/>
        <w:spacing w:after="0"/>
        <w:tabs>
          <w:tab w:leader="none" w:pos="9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VWAP of the Combined Company Common Stock equals or exceeds the Earnout Tier I Share Price Target for any twenty</w:t>
      </w:r>
    </w:p>
    <w:p>
      <w:pPr>
        <w:spacing w:after="0" w:line="27" w:lineRule="exact"/>
        <w:rPr>
          <w:rFonts w:ascii="Times New Roman" w:cs="Times New Roman" w:eastAsia="Times New Roman" w:hAnsi="Times New Roman"/>
          <w:sz w:val="18"/>
          <w:szCs w:val="18"/>
          <w:color w:val="auto"/>
        </w:rPr>
      </w:pPr>
    </w:p>
    <w:p>
      <w:pPr>
        <w:ind w:left="960" w:right="100" w:firstLine="8"/>
        <w:spacing w:after="0" w:line="255" w:lineRule="auto"/>
        <w:tabs>
          <w:tab w:leader="none" w:pos="130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any consecutive thirty (30) Trading Day period commencing at least 150 days after the Closing Date but prior to the expiration of the Earnout Period, then, subject to the terms and conditions of the Merger Agreement, the Earnout Participants shall be entitled to receive Two Million (2,000,000) Earnout Shares;</w:t>
      </w:r>
    </w:p>
    <w:p>
      <w:pPr>
        <w:spacing w:after="0" w:line="9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VWAP of the Combined Company Common Stock equals or exceeds the Earnout Tier II Share Price Target for any twenty</w:t>
      </w:r>
    </w:p>
    <w:p>
      <w:pPr>
        <w:spacing w:after="0" w:line="27" w:lineRule="exact"/>
        <w:rPr>
          <w:rFonts w:ascii="Times New Roman" w:cs="Times New Roman" w:eastAsia="Times New Roman" w:hAnsi="Times New Roman"/>
          <w:sz w:val="18"/>
          <w:szCs w:val="18"/>
          <w:color w:val="auto"/>
        </w:rPr>
      </w:pPr>
    </w:p>
    <w:p>
      <w:pPr>
        <w:ind w:left="960" w:right="100" w:firstLine="8"/>
        <w:spacing w:after="0" w:line="255" w:lineRule="auto"/>
        <w:tabs>
          <w:tab w:leader="none" w:pos="130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any consecutive thirty (30) Trading Day period commencing at least 150 days after the Closing Date but prior to the expiration of the Earnout Period, then, subject to the terms and conditions of the Merger Agreement, the Earnout Participants shall be entitled to receive Two Million (2,000,000) Earnout Shares; and</w:t>
      </w:r>
    </w:p>
    <w:p>
      <w:pPr>
        <w:spacing w:after="0" w:line="91"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VWAP of Combined Company Common Stock equals or exceeds the Earnout Tier III Share Price Target for any twenty (20) Trading Days within any consecutive thirty (30) Trading Day period commencing at least 150 days after the Closing Date but prior to the expiration of the Earnout Period, then, subject to the terms and conditions of the Merger Agreement, the Earnout Participants shall be entitled to receive Two Million (2,000,000) Earnout Shares.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above is further summarized in the following table:</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Earnout Tier</w:t>
            </w:r>
          </w:p>
        </w:tc>
        <w:tc>
          <w:tcPr>
            <w:tcW w:w="420" w:type="dxa"/>
            <w:vAlign w:val="bottom"/>
          </w:tcPr>
          <w:p>
            <w:pPr>
              <w:spacing w:after="0"/>
              <w:rPr>
                <w:sz w:val="16"/>
                <w:szCs w:val="16"/>
                <w:color w:val="auto"/>
              </w:rPr>
            </w:pPr>
          </w:p>
        </w:tc>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Share Price Target</w:t>
            </w:r>
          </w:p>
        </w:tc>
        <w:tc>
          <w:tcPr>
            <w:tcW w:w="4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VWAP Condition</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Earnout Shares</w:t>
            </w:r>
          </w:p>
        </w:tc>
      </w:tr>
      <w:tr>
        <w:trPr>
          <w:trHeight w:val="185"/>
        </w:trPr>
        <w:tc>
          <w:tcPr>
            <w:tcW w:w="82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Tier I</w:t>
            </w:r>
          </w:p>
        </w:tc>
        <w:tc>
          <w:tcPr>
            <w:tcW w:w="4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$12.00 per share</w:t>
            </w:r>
          </w:p>
        </w:tc>
        <w:tc>
          <w:tcPr>
            <w:tcW w:w="480" w:type="dxa"/>
            <w:vAlign w:val="bottom"/>
            <w:tcBorders>
              <w:top w:val="single" w:sz="8" w:color="CCEEFF"/>
            </w:tcBorders>
            <w:shd w:val="clear" w:color="auto" w:fill="CCEEFF"/>
          </w:tcPr>
          <w:p>
            <w:pPr>
              <w:spacing w:after="0"/>
              <w:rPr>
                <w:sz w:val="16"/>
                <w:szCs w:val="16"/>
                <w:color w:val="auto"/>
              </w:rPr>
            </w:pPr>
          </w:p>
        </w:tc>
        <w:tc>
          <w:tcPr>
            <w:tcW w:w="488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VWAP ≥ $12.00 for 20 out of 30 consecutive Trading Days</w:t>
            </w:r>
          </w:p>
        </w:tc>
        <w:tc>
          <w:tcPr>
            <w:tcW w:w="4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2,000,000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(commencing at least 150 days after Closing but prior to the end of</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Earnout Period)</w:t>
            </w: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Tier II</w:t>
            </w:r>
          </w:p>
        </w:tc>
        <w:tc>
          <w:tcPr>
            <w:tcW w:w="2100" w:type="dxa"/>
            <w:vAlign w:val="bottom"/>
            <w:gridSpan w:val="3"/>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$15.00 per share</w:t>
            </w:r>
          </w:p>
        </w:tc>
        <w:tc>
          <w:tcPr>
            <w:tcW w:w="4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VWAP ≥ $15.00 for 20 out of 30 consecutive Trading Days</w:t>
            </w:r>
          </w:p>
        </w:tc>
        <w:tc>
          <w:tcPr>
            <w:tcW w:w="14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2,000,000</w:t>
            </w:r>
          </w:p>
        </w:tc>
        <w:tc>
          <w:tcPr>
            <w:tcW w:w="6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(commencing at least 150 days after Closing but prior to the end of</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Earnout Period)</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Tier III</w:t>
            </w:r>
          </w:p>
        </w:tc>
        <w:tc>
          <w:tcPr>
            <w:tcW w:w="2100" w:type="dxa"/>
            <w:vAlign w:val="bottom"/>
            <w:gridSpan w:val="3"/>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$20.00 per share</w:t>
            </w:r>
          </w:p>
        </w:tc>
        <w:tc>
          <w:tcPr>
            <w:tcW w:w="4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VWAP ≥ $20.00 for 20 out of 30 consecutive Trading Days</w:t>
            </w:r>
          </w:p>
        </w:tc>
        <w:tc>
          <w:tcPr>
            <w:tcW w:w="140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2,000,000</w:t>
            </w:r>
          </w:p>
        </w:tc>
        <w:tc>
          <w:tcPr>
            <w:tcW w:w="60" w:type="dxa"/>
            <w:vAlign w:val="bottom"/>
            <w:shd w:val="clear" w:color="auto" w:fill="CCEEFF"/>
          </w:tcPr>
          <w:p>
            <w:pPr>
              <w:spacing w:after="0"/>
              <w:rPr>
                <w:sz w:val="17"/>
                <w:szCs w:val="17"/>
                <w:color w:val="auto"/>
              </w:rPr>
            </w:pPr>
          </w:p>
        </w:tc>
      </w:tr>
      <w:tr>
        <w:trPr>
          <w:trHeight w:val="216"/>
        </w:trPr>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(commencing at least 150 days after Closing but prior to the end of</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Earnout Period)</w:t>
            </w: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6,000,000</w:t>
            </w:r>
          </w:p>
        </w:tc>
        <w:tc>
          <w:tcPr>
            <w:tcW w:w="60" w:type="dxa"/>
            <w:vAlign w:val="bottom"/>
          </w:tcPr>
          <w:p>
            <w:pPr>
              <w:spacing w:after="0"/>
              <w:rPr>
                <w:sz w:val="20"/>
                <w:szCs w:val="20"/>
                <w:color w:val="auto"/>
              </w:rPr>
            </w:pPr>
          </w:p>
        </w:tc>
      </w:tr>
    </w:tbl>
    <w:p>
      <w:pPr>
        <w:spacing w:after="0" w:line="17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Each share price target may only be achieved once during the Earnout Period. The achievement of a higher-tier share price based Triggering Event is deemed to include the achievement of any lower-tier share price based Triggering Event not previously achieved, and in such case, the Earnout Shares attributable to each such share price target will become issuable to then-qualifying Earnout Participants together.</w:t>
      </w:r>
    </w:p>
    <w:p>
      <w:pPr>
        <w:spacing w:after="0" w:line="176"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If a Qualifying Change of Control (as defined above) occurs during the Earnout Period (in which the implied consideration per share of Combined Company Common Stock equals or exceeds $12.00), eligible Earnout Participants shall be entitled to receive their respective Earnout Pro Rata Share of all Earnout Shares not previously vested. If none of the Trigger Events occur during the Earnout Period, no Earnout Shares will be delivered to Earnout Participants. If any Earnout Shares are issued, they will not be registered at the time of issuance.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Regarding Stockholder Merger Consideration and Pro Rata Shares of Stockholder Merger Consideration</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w:t>
      </w:r>
      <w:r>
        <w:rPr>
          <w:rFonts w:ascii="Times New Roman" w:cs="Times New Roman" w:eastAsia="Times New Roman" w:hAnsi="Times New Roman"/>
          <w:sz w:val="18"/>
          <w:szCs w:val="18"/>
          <w:b w:val="1"/>
          <w:bCs w:val="1"/>
          <w:color w:val="auto"/>
        </w:rPr>
        <w:t>Stockholder Merger Consideration</w:t>
      </w:r>
      <w:r>
        <w:rPr>
          <w:rFonts w:ascii="Times New Roman" w:cs="Times New Roman" w:eastAsia="Times New Roman" w:hAnsi="Times New Roman"/>
          <w:sz w:val="18"/>
          <w:szCs w:val="18"/>
          <w:color w:val="auto"/>
        </w:rPr>
        <w:t>” represents a subset of the aggregate Merger Consideration, excluding the value attributed to Assumed Vested Options. In connection with the Closing, each Teamshares Stockholder received its Pro Rata Share of the Stockholder Merger Consideration (after giving effect to Liquidation Preference Elections by Eligible Preferred Holders and, thereafter, giving effect to the Company Preferred Stock Exchange or otherwise treating shares of Company Preferred Stock on an as-converted to Company Common Stock basis, but excluding Company Treasury Shares). A Teamshares Stockholder’s Pro Rata Share is calculated as a fraction, expressed as a percentage, equal to (i) the portion of the Stockholder Merger Consideration issuable to such stockholder in accordance with the terms of the Merger Agreement, divided by (ii) the total Stockholder Merger Consideration issuable to all Teamshares Stockholders. The number of shares of Combined Company Common Stock issuable to each Teamshares Stockholder was determined by applying the Conversion Ratio (as defined below) to the number of shares of Company Common Stock held by such stockholder as of immediately prior to the First Effective Time (after giving effect to Liquidation Preference Elections by Eligible Preferred Holders and, thereafter, after giving effect to Company Preferred Stock Exchange or otherwise treating Teamshares Preferred Stock on an as-converted to common stock basis), but excluding, for calculation purposes, Company Treasury Shares.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77" w:name="page178"/>
    <w:bookmarkEnd w:id="17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Times New Roman" w:cs="Times New Roman" w:eastAsia="Times New Roman" w:hAnsi="Times New Roman"/>
          <w:sz w:val="18"/>
          <w:szCs w:val="18"/>
          <w:b w:val="1"/>
          <w:bCs w:val="1"/>
          <w:color w:val="auto"/>
        </w:rPr>
        <w:t>Conversion Ratio</w:t>
      </w:r>
      <w:r>
        <w:rPr>
          <w:rFonts w:ascii="Times New Roman" w:cs="Times New Roman" w:eastAsia="Times New Roman" w:hAnsi="Times New Roman"/>
          <w:sz w:val="18"/>
          <w:szCs w:val="18"/>
          <w:color w:val="auto"/>
        </w:rPr>
        <w:t>” is equal to (i) the Per Share Price, divided by (ii) $10.00. The “</w:t>
      </w:r>
      <w:r>
        <w:rPr>
          <w:rFonts w:ascii="Times New Roman" w:cs="Times New Roman" w:eastAsia="Times New Roman" w:hAnsi="Times New Roman"/>
          <w:sz w:val="18"/>
          <w:szCs w:val="18"/>
          <w:b w:val="1"/>
          <w:bCs w:val="1"/>
          <w:color w:val="auto"/>
        </w:rPr>
        <w:t>Per Share Price</w:t>
      </w:r>
      <w:r>
        <w:rPr>
          <w:rFonts w:ascii="Times New Roman" w:cs="Times New Roman" w:eastAsia="Times New Roman" w:hAnsi="Times New Roman"/>
          <w:sz w:val="18"/>
          <w:szCs w:val="18"/>
          <w:color w:val="auto"/>
        </w:rPr>
        <w:t>” is equal to (A) the Merger Consideration (i.e., $525.0 million plus any Interim Period Financing amounts that convert to Teamshares common stock prior to the First Effective Time), divided by (B) the number of Fully-Diluted Company Shares outstanding as of the First Effective Time. “</w:t>
      </w:r>
      <w:r>
        <w:rPr>
          <w:rFonts w:ascii="Times New Roman" w:cs="Times New Roman" w:eastAsia="Times New Roman" w:hAnsi="Times New Roman"/>
          <w:sz w:val="18"/>
          <w:szCs w:val="18"/>
          <w:b w:val="1"/>
          <w:bCs w:val="1"/>
          <w:color w:val="auto"/>
        </w:rPr>
        <w:t>Fully-Diluted Company Shares</w:t>
      </w:r>
      <w:r>
        <w:rPr>
          <w:rFonts w:ascii="Times New Roman" w:cs="Times New Roman" w:eastAsia="Times New Roman" w:hAnsi="Times New Roman"/>
          <w:sz w:val="18"/>
          <w:szCs w:val="18"/>
          <w:color w:val="auto"/>
        </w:rPr>
        <w:t>”, as defined in the Merger Agreement, as of the Closing and without duplication, means the total number of issued and outstanding shares of Company Common Stock, expressed on a fully-diluted and as-converted to Company Common Stock basis, (a) after giving effect to Liquidation Preference Elections by Eligible Preferred Holders and, thereafter, giving effect to the Company Preferred Stock Exchange or otherwise treating shares of Company Preferred Stock on an as converted to Company Common Stock basis, (b) issuable upon the settlement of Company In-the-Money Options (vested and unvested) outstanding and unexercised as of immediately prior to the First Effective Time, calculated in accordance with the treasury accounting method, and (c) treating all outstanding Company Convertible Securities (other than Company Options) as fully vested and as if the Company Convertible Security had been exercised, exchanged or converted as of the First Effective Time and calculated using the treasury method of accounting, but excluding any Company Securities held by Teamshares as treasury stock. The final Conversion Ratio was calculated as 4.510.</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Events in Connection with the Business Combination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related events that have or are contemplated to take place in connection with the Business Combination are summarized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PIPE Investment</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Original Merger Agreement, Live Oak entered into Initial PIPE Subscription Agreements with the Initial PIPE Investors, including certain members of Teamshares management (identified below, the “</w:t>
      </w:r>
      <w:r>
        <w:rPr>
          <w:rFonts w:ascii="Times New Roman" w:cs="Times New Roman" w:eastAsia="Times New Roman" w:hAnsi="Times New Roman"/>
          <w:sz w:val="18"/>
          <w:szCs w:val="18"/>
          <w:b w:val="1"/>
          <w:bCs w:val="1"/>
          <w:color w:val="auto"/>
        </w:rPr>
        <w:t>Teamshares PIPE Investors</w:t>
      </w:r>
      <w:r>
        <w:rPr>
          <w:rFonts w:ascii="Times New Roman" w:cs="Times New Roman" w:eastAsia="Times New Roman" w:hAnsi="Times New Roman"/>
          <w:sz w:val="18"/>
          <w:szCs w:val="18"/>
          <w:color w:val="auto"/>
        </w:rPr>
        <w:t>”). Under the terms of the Initial PIPE Subscription Agreements, the Initial PIPE Investors agreed to subscribe for and purchase 13,750,000 Live Oak shares at a purchase price of $9.20 per share for gross proceeds of approximately $126.5 million.</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Teamshares PIPE Investors have entered into Initial PIPE Subscription Agreements with Live Oak to purchase the following shares of Live Oak Class A Common Stock for the following investment amounts (at $9.20 per share subscription price) in accordance with the terms of such subscription agreements:</w:t>
      </w:r>
    </w:p>
    <w:p>
      <w:pPr>
        <w:spacing w:after="0" w:line="19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PIPE Investment Amount</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3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Brown</w:t>
            </w:r>
          </w:p>
        </w:tc>
        <w:tc>
          <w:tcPr>
            <w:tcW w:w="2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95"/>
              </w:rPr>
              <w:t>250,000</w:t>
            </w:r>
          </w:p>
        </w:tc>
        <w:tc>
          <w:tcPr>
            <w:tcW w:w="60" w:type="dxa"/>
            <w:vAlign w:val="bottom"/>
            <w:shd w:val="clear" w:color="auto" w:fill="CCEEFF"/>
          </w:tcPr>
          <w:p>
            <w:pPr>
              <w:spacing w:after="0"/>
              <w:rPr>
                <w:sz w:val="17"/>
                <w:szCs w:val="17"/>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Eu</w:t>
            </w:r>
          </w:p>
        </w:tc>
        <w:tc>
          <w:tcPr>
            <w:tcW w:w="2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Shiiba</w:t>
            </w:r>
          </w:p>
        </w:tc>
        <w:tc>
          <w:tcPr>
            <w:tcW w:w="266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Gaebe</w:t>
            </w:r>
          </w:p>
        </w:tc>
        <w:tc>
          <w:tcPr>
            <w:tcW w:w="26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Madhuri Kommareddi</w:t>
            </w:r>
          </w:p>
        </w:tc>
        <w:tc>
          <w:tcPr>
            <w:tcW w:w="266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125,000</w:t>
            </w:r>
          </w:p>
        </w:tc>
      </w:tr>
    </w:tbl>
    <w:p>
      <w:pPr>
        <w:spacing w:after="0" w:line="198"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The terms of the Initial PIPE Subscription Agreements into which the Teamshares PIPE Investors entered are equivalent to the terms of the Initial PIPE Subscription Agreements entered into by investors in the Initial PIPE Investment transaction that are not Teamshares PIPE Investors. For purposes of illustrative pro forma share calculations and ownership percentages, and to avoid duplication, the shares of Combined Company Common Stock held by the Teamshares PIPE Investors immediately after the Closing are included, in this and other sections of this Proxy Statement/Prospectus, in the aggregate number of shares of Combined Company Common Stock issuable to the Initial PIPE Investors. Accordingly, those shares are excluded from the presentations of the number of shares of Combined Company Common Stock held by the Teamshares Stockholders immediately after the Closing.</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 (SAFE) Investments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During the period between December 2025 and May 2026, Teamshares and SAFE Investors entered into Teamshares SAFEs for Purchase Amounts of approximately $6.3 million, of which $3.0 million was received by Teamshares in December 2025, $1.1 million was received by Teamshares in January 2026, $1.3 million was received by Teamshares in April 2026, and $1.0 million was received by Teamshares in May 2026. The Teamshares SAFEs entered into prior to March 31, 2026 are included in Other Long-Term Liabilities on the Consolidated Balance Sheet as of March 31, 2026. Pursuant to the terms of the Teamshares SAFEs, the Teamshares SAFEs automatically converted into 688,043 newly-issued shares of Combined Company Common Stock in connection with the proposed Business Combination. The Teamshares SAFEs also contemplated and resulted in the delivery at the Closing of an aggregate of 63,300 additional shares of Combined Company Common Stock as “bonus shares.” Pursuant to the terms of the Teamshares SAFEs, the Teamshares SAFEs automatically converted upon consummation of the Business Combination into SAFE Investor Combined Company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78" w:name="page179"/>
    <w:bookmarkEnd w:id="178"/>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Deferred Founder Shares</w:t>
      </w:r>
    </w:p>
    <w:p>
      <w:pPr>
        <w:spacing w:after="0" w:line="121"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At the Closing, 1,150,000 Deferred Founder Shares are subjected to Founder Shares Post-Closing Conditions and will be forfeited, in whole or in part, if such conditions are not satisfied within the post-Closing Founder Share Measurement Period. As of the Closing, a total of 1,049,529 Incentive Founder Shares were undistributed resulting in the forfeiture of 524,765 shares and retention of 524,765 shares by the Sponsor that are subject to the Founder Shares Post-Closing Conditions during the Founder Share Measurement Period (and forfeited if the Founder Shares Post-Closing Conditions are not satisfied during such period).</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Teamshares Liquidation Preference Elections and Warrant Exercises</w:t>
      </w:r>
    </w:p>
    <w:p>
      <w:pPr>
        <w:spacing w:after="0" w:line="121"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For purposes of calculating the number of shares of Company Common Stock outstanding prior to the First Effective Time, it is noted that (A) (i) some, but not all, of the holders of outstanding shares of Company Series C-1 Preferred Stock, and none of the holders of outstanding shares of Company Series C-2 Preferred Stock, made Liquidation Preference Elections (as further described elsewhere in this Proxy Statement/Prospectus) and</w:t>
      </w:r>
    </w:p>
    <w:p>
      <w:pPr>
        <w:spacing w:after="0" w:line="1" w:lineRule="exact"/>
        <w:rPr>
          <w:sz w:val="20"/>
          <w:szCs w:val="20"/>
          <w:color w:val="auto"/>
        </w:rPr>
      </w:pPr>
    </w:p>
    <w:p>
      <w:pPr>
        <w:ind w:left="4" w:right="20" w:hanging="4"/>
        <w:spacing w:after="0" w:line="251" w:lineRule="auto"/>
        <w:tabs>
          <w:tab w:leader="none" w:pos="26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holders of Company Series D-1 Preferred Stock, Company Series D-2 Preferred Stock, Company Series D-NV Preferred Stock, Company Series E Preferred Stock and Company Series E-NV Preferred Stock made Liquidation Preference Elections in accordance with the Liquidation Preference Election and Waiver Documents. Based on the foregoing election results, using the Per Share Price determined at Closing in accordance with the terms of the Merger Agreement, an aggregate of 5,171,149 shares of Company Common Stock were issuable by Teamshares prior to the Company Preferred Stock Exchange required by the terms of the Merger Agreement to be effectuated prior to the First Effective Time, to Liquidation Preference Electing Holders, corresponding to an aggregate liquidation preference allocation, expressed as a dollar amount, of $233.2 million, as further detailed in the sections of this Proxy Statement/Prospectus entitled “Teamshares Liquidation Preference Elections and Warrant Exercises” and “Unaudited Pro Forma Condensed Combined Financial Information”; and (B) warrants to purchase 77,258 shares of Company Common Stock were exercised in accordance with their terms (resulting in the issuance, on a net exercise basis, of 48,988 shares of Company Common Stock prior to the First Effective Time).</w:t>
      </w:r>
    </w:p>
    <w:p>
      <w:pPr>
        <w:spacing w:after="0" w:line="193" w:lineRule="exact"/>
        <w:rPr>
          <w:sz w:val="20"/>
          <w:szCs w:val="20"/>
          <w:color w:val="auto"/>
        </w:rPr>
      </w:pPr>
    </w:p>
    <w:p>
      <w:pPr>
        <w:ind w:left="4" w:right="40" w:firstLine="440"/>
        <w:spacing w:after="0" w:line="312" w:lineRule="auto"/>
        <w:rPr>
          <w:sz w:val="20"/>
          <w:szCs w:val="20"/>
          <w:color w:val="auto"/>
        </w:rPr>
      </w:pPr>
      <w:r>
        <w:rPr>
          <w:rFonts w:ascii="Times New Roman" w:cs="Times New Roman" w:eastAsia="Times New Roman" w:hAnsi="Times New Roman"/>
          <w:sz w:val="17"/>
          <w:szCs w:val="17"/>
          <w:color w:val="auto"/>
        </w:rPr>
        <w:t>The Liquidation Preference Elections which were made as of the Closing resulted in the issuance of 1,971,943 more shares of Company Common Stock than would have been issued to such Liquidation Preference Electing Holders, had such holders not made Liquidation Preference Elections.</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17" w:lineRule="exact"/>
        <w:rPr>
          <w:sz w:val="20"/>
          <w:szCs w:val="20"/>
          <w:color w:val="auto"/>
        </w:rPr>
      </w:pPr>
    </w:p>
    <w:p>
      <w:pPr>
        <w:ind w:left="4" w:right="260" w:firstLine="440"/>
        <w:spacing w:after="0" w:line="26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Live Oak entered into Non-Redemption Agreements (the “</w:t>
      </w:r>
      <w:r>
        <w:rPr>
          <w:rFonts w:ascii="Times New Roman" w:cs="Times New Roman" w:eastAsia="Times New Roman" w:hAnsi="Times New Roman"/>
          <w:sz w:val="18"/>
          <w:szCs w:val="18"/>
          <w:b w:val="1"/>
          <w:bCs w:val="1"/>
          <w:color w:val="auto"/>
        </w:rPr>
        <w:t>Non-Redemption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dated as of June 5, 2026, with unaffiliated third-party shareholders of Live Oak (each, a “</w:t>
      </w:r>
      <w:r>
        <w:rPr>
          <w:rFonts w:ascii="Times New Roman" w:cs="Times New Roman" w:eastAsia="Times New Roman" w:hAnsi="Times New Roman"/>
          <w:sz w:val="18"/>
          <w:szCs w:val="18"/>
          <w:b w:val="1"/>
          <w:bCs w:val="1"/>
          <w:color w:val="auto"/>
        </w:rPr>
        <w:t>NRA 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NRA Investors</w:t>
      </w:r>
      <w:r>
        <w:rPr>
          <w:rFonts w:ascii="Times New Roman" w:cs="Times New Roman" w:eastAsia="Times New Roman" w:hAnsi="Times New Roman"/>
          <w:sz w:val="18"/>
          <w:szCs w:val="18"/>
          <w:color w:val="auto"/>
        </w:rPr>
        <w:t>”) and Sponsor in accordance with the terms of the Merger Agreement.</w:t>
      </w:r>
    </w:p>
    <w:p>
      <w:pPr>
        <w:spacing w:after="0" w:line="17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Pursuant to the Non-Redemption Agreements, the NRA Investors agreed not to redeem an aggregate of 276,646 Class A ordinary shares of Live Oak (the “</w:t>
      </w:r>
      <w:r>
        <w:rPr>
          <w:rFonts w:ascii="Times New Roman" w:cs="Times New Roman" w:eastAsia="Times New Roman" w:hAnsi="Times New Roman"/>
          <w:sz w:val="18"/>
          <w:szCs w:val="18"/>
          <w:b w:val="1"/>
          <w:bCs w:val="1"/>
          <w:color w:val="auto"/>
        </w:rPr>
        <w:t>Non-Redeemed Shares</w:t>
      </w:r>
      <w:r>
        <w:rPr>
          <w:rFonts w:ascii="Times New Roman" w:cs="Times New Roman" w:eastAsia="Times New Roman" w:hAnsi="Times New Roman"/>
          <w:sz w:val="18"/>
          <w:szCs w:val="18"/>
          <w:color w:val="auto"/>
        </w:rPr>
        <w:t>”) at the Extraordinary General Meeting. In exchange for the foregoing commitment to Live Oak to not redeem the Non-Redeemed Shares, the Sponsor agreed to transfer to the NRA Investors, contemporaneously with the Closing, an aggregate of 37,171 shares of Class B Common Stock held by the Sponsor, provided that such NRA Investors do not exercise their respective redemption rights with respect to the Non-Redeemed Shares in connection with the Extraordinary General Meeting. The foregoing description of the Non-Redemption Agreements does not purport to be complete and is qualified in its entirety by reference to the Form of Non-Redemption Agreement attached hereto as Exhibit 10.17, which is incorporated herein by reference.</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229" w:lineRule="exact"/>
        <w:rPr>
          <w:sz w:val="20"/>
          <w:szCs w:val="20"/>
          <w:color w:val="auto"/>
        </w:rPr>
      </w:pPr>
    </w:p>
    <w:p>
      <w:pPr>
        <w:ind w:left="4" w:firstLine="440"/>
        <w:spacing w:after="0" w:line="289" w:lineRule="auto"/>
        <w:rPr>
          <w:sz w:val="20"/>
          <w:szCs w:val="20"/>
          <w:color w:val="auto"/>
        </w:rPr>
      </w:pPr>
      <w:r>
        <w:rPr>
          <w:rFonts w:ascii="Times New Roman" w:cs="Times New Roman" w:eastAsia="Times New Roman" w:hAnsi="Times New Roman"/>
          <w:sz w:val="17"/>
          <w:szCs w:val="17"/>
          <w:color w:val="auto"/>
        </w:rPr>
        <w:t>On June 1, 2026, in connection with the Business Combination, Live Oak entered into an agreement (the “Forward Purchase Agreement”) with a fund sub-advised by JBA Asset Management LLC for an OTC Equity Prepaid Forward Transaction to purchase shares of Combined Company Common Stock. Capitalized terms used but not otherwise defined in this subsection have the meanings ascribed to them in the Forward Purchase Agreement.</w:t>
      </w:r>
    </w:p>
    <w:p>
      <w:pPr>
        <w:spacing w:after="0" w:line="158"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the terms of the Forward Purchase Agreement, upon consummation of the Business Combination, Live Oak will pay to the FPA Investor, from funds remaining in the trust account established by Live Oak at the time of Live Oak’s initial public offering (the “Trust Account”), after satisfaction of required redemption payments, an amount (the “Prepayment Amount”) equal to the product of the number of Subject Shares (as defined below, up to a maximum number of 4,000,000 shares) multiplied by an amount determined as of five (5) exchange business days prior to the Closing Date (“Initial Price”), subject to adjustment for share splits, share dividends, combinations or recapitalizations occurring after the Closing, and Live Oak or the Combined Company will also reimburse the FPA Investor for certain expenses at the Closing or upon earlier termination of the Forward Purchase Agreement, as applicable.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6" w:right="479" w:bottom="1440" w:gutter="0" w:footer="0" w:header="0"/>
        </w:sectPr>
      </w:pPr>
    </w:p>
    <w:bookmarkStart w:id="179" w:name="page180"/>
    <w:bookmarkEnd w:id="17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Forward Purchase Agreement, the FPA Investor purchased 4,000,000 Public Shares from third-parties on the open market prior to the Closing. The 4,000,000 shares were not redeemed pursuant to the terms of the Forward Purchase Agreement. The funds remaining in the Trust Account as a result of the 4,000,000 shares that were not redeemed were used to settle the Prepayment Amount owed to the FPA Investor. The Prepayment Amount was determined to be $42.2 million based on an Initial Price of $10.56. The Company believes that the substance of this payment is akin to a subscription receivable for shares in the Combined Company. As such, the payment of the Prepayment Amount has been presented as a reduction of equity. Additionally, the Company recognized a derivative liability that represents the estimated fair value of the Company’s settlement obligations under the Forward Purchase Agreement.</w:t>
      </w:r>
    </w:p>
    <w:p>
      <w:pPr>
        <w:spacing w:after="0" w:line="18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Forward Purchase Agreement does not purport to be complete and is qualified in its entirety by reference to the full text of the Forward Purchase Agreement, a copy of which is included as Exhibit 10.9 to this Proxy Statement/Prospectus and is incorporated herein by reference.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Accounting Treatment of the Business Combination</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Live Oak was treated as the “acquired” company and Teamshares was treated as the accounting acquirer for financial statement reporting purposes. Accordingly, the Business Combination is being treated as the equivalent of Teamshares issuing stock for the net assets of Live Oak, accompanied by a recapitalization. The net assets of Live Oak will be stated at historical cost, with no goodwill or other intangible assets recorded. Operations prior to the Business Combination will be presented as those of Teamshares.</w:t>
      </w:r>
    </w:p>
    <w:p>
      <w:pPr>
        <w:spacing w:after="0" w:line="183"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Teamshares Stockholders as of the First Effective Time received shares of Combined Company Common Stock with an aggregate value equal to the Stockholder Merger Consideration, with the number of such Merger Consideration Shares to be determined based on a value of $10.00 per share. Other than Company Options which are in-the-money as of the First Effective Time, all Teamshares options, warrants and any other securities convertible or exchangeable for Teamshares shares that remain unexercised were terminated as of the First Effective Time. In addition, qualifying Earnout Participants received a right to certain Earnout Shares, if any such shares are issued upon the achievement, if any, of specified share price targets or other events or conditions which may occur during the post-Closing Earnout Period.</w:t>
      </w:r>
    </w:p>
    <w:p>
      <w:pPr>
        <w:spacing w:after="0" w:line="18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Teamshares has been determined to be the accounting acquirer based on evaluation of the following facts and circumstances as of immediately following the Closing:</w:t>
      </w:r>
    </w:p>
    <w:p>
      <w:pPr>
        <w:spacing w:after="0" w:line="67" w:lineRule="exact"/>
        <w:rPr>
          <w:sz w:val="20"/>
          <w:szCs w:val="20"/>
          <w:color w:val="auto"/>
        </w:rPr>
      </w:pPr>
    </w:p>
    <w:p>
      <w:pPr>
        <w:ind w:left="960" w:hanging="424"/>
        <w:spacing w:after="0"/>
        <w:tabs>
          <w:tab w:leader="none" w:pos="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Teamshares have the greatest voting interest in the Combined Company;</w:t>
      </w:r>
    </w:p>
    <w:p>
      <w:pPr>
        <w:spacing w:after="0" w:line="130"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Teamshares have the ability to control decisions regarding election and removal of directors and officers of the Combined Company;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Teamshares’ operations prior to the Business Combination comprise the only ongoing operations of the Combined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Teamshares’ existing senior management comprise the senior management of the Combined Company;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Teamshares is the larger entity (relative to Live Oak) based on historical operating activity and its larger employee base.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Accounting Considerations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Teamshares is assessing the accounting related to the Business Combination and the treatment related to the following matters:</w:t>
      </w:r>
    </w:p>
    <w:p>
      <w:pPr>
        <w:spacing w:after="0" w:line="131" w:lineRule="exact"/>
        <w:rPr>
          <w:sz w:val="20"/>
          <w:szCs w:val="20"/>
          <w:color w:val="auto"/>
        </w:rPr>
      </w:pPr>
    </w:p>
    <w:p>
      <w:pPr>
        <w:ind w:left="960" w:right="80" w:hanging="424"/>
        <w:spacing w:after="0" w:line="256" w:lineRule="auto"/>
        <w:tabs>
          <w:tab w:leader="none" w:pos="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Shares – Teamshares management is currently evaluating the accounting treatment related to the portion of the Earnout Shares attributed to Eligible Optionholders who satisfy the applicable eligibility criteria as of a Trigger Date. These are considered a separate unit of account from the Earnout Shares attributed to Teamshares Stockholders. For purposes of the unaudited pro forma condensed combined financial information, the company has preliminarily treated the portion of these Earnout Shares subject to continued service requirements as stock-based compensation and classified them as equity. However, the evaluation and finalization of accounting conclusions, including any related compensation expense, are ongoing and subject to change.</w:t>
      </w:r>
    </w:p>
    <w:p>
      <w:pPr>
        <w:spacing w:after="0" w:line="92" w:lineRule="exact"/>
        <w:rPr>
          <w:rFonts w:ascii="Times New Roman" w:cs="Times New Roman" w:eastAsia="Times New Roman" w:hAnsi="Times New Roman"/>
          <w:sz w:val="18"/>
          <w:szCs w:val="18"/>
          <w:color w:val="auto"/>
        </w:rPr>
      </w:pPr>
    </w:p>
    <w:p>
      <w:pPr>
        <w:ind w:left="960" w:right="60" w:hanging="424"/>
        <w:spacing w:after="0" w:line="277" w:lineRule="auto"/>
        <w:tabs>
          <w:tab w:leader="none" w:pos="96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Live Oak Public Warrants and Private Warrants – Live Oak Public Warrants and Private Warrants are accounted for as equity instruments in the historical financial statements of Live Oak. Based on existing terms and no anticipated modifications, Teamshares management preliminarily expects that equity classification for the Public Warrants and Private Warrants will continue to be appropriate for the Combined Company warrants issued at Closing in respect of the Live Oak Public Warrants and Private Warrants; provided, that Teamshares management may continue to analyze this treatment, with final conclusions to be determined as described immediately below.</w:t>
      </w:r>
    </w:p>
    <w:p>
      <w:pPr>
        <w:sectPr>
          <w:pgSz w:w="11900" w:h="16838" w:orient="portrait"/>
          <w:cols w:equalWidth="0" w:num="1">
            <w:col w:w="11000"/>
          </w:cols>
          <w:pgMar w:left="440" w:top="270" w:right="459" w:bottom="1440" w:gutter="0" w:footer="0" w:header="0"/>
        </w:sectPr>
      </w:pPr>
    </w:p>
    <w:bookmarkStart w:id="180" w:name="page181"/>
    <w:bookmarkEnd w:id="180"/>
    <w:p>
      <w:pPr>
        <w:ind w:left="964" w:hanging="424"/>
        <w:spacing w:after="0" w:line="252" w:lineRule="auto"/>
        <w:tabs>
          <w:tab w:leader="none" w:pos="96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Contingent Payment to HBC—On December 23, 2025, certain subsidiaries of Teamshares entered into the HBC Credit Facility, which had approximately $33.9 million in principal outstanding as of March 31, 2026. As additional consideration for entering into the HBC Credit Facility, Teamshares agreed, pursuant to the HBC-Teamshares Fee Letter, to pay “</w:t>
      </w:r>
      <w:r>
        <w:rPr>
          <w:rFonts w:ascii="Times New Roman" w:cs="Times New Roman" w:eastAsia="Times New Roman" w:hAnsi="Times New Roman"/>
          <w:sz w:val="18"/>
          <w:szCs w:val="18"/>
          <w:b w:val="1"/>
          <w:bCs w:val="1"/>
          <w:color w:val="auto"/>
        </w:rPr>
        <w:t>HBC Fee</w:t>
      </w:r>
      <w:r>
        <w:rPr>
          <w:rFonts w:ascii="Times New Roman" w:cs="Times New Roman" w:eastAsia="Times New Roman" w:hAnsi="Times New Roman"/>
          <w:sz w:val="18"/>
          <w:szCs w:val="18"/>
          <w:color w:val="auto"/>
        </w:rPr>
        <w:t>” upon a future, post-Business Combination date, subject to and contingent upon the consummation of the proposed Business Combination, which HBC Fees may, in the discretion of Teamshares, be deliverable in the form of (i) shares of Combined Company Common Stock (with the number of such shares of Combined Company Common Stock to be determined based on the arithmetic average of the daily volume-weighted average trading price of shares of Company Common Stock during the seven (7) full trading days immediately preceding the date of issuance of such shares) or (ii) cash, in an amount equal to $1 million ; and provided, further, that Teamshares may be required to deliver the HBC Fees in cash if certain conditions set forth in the HBC-Teamshares Fee Letter are not satisfied in connection with the Business Combination or during the post-Closing period preceding the HBC Fee required payment date, in each case in accordance with the terms of the HBC-Teamshares Fee Letter. See Note 9, “Debt” to the Teamshares Inc. audited annual consolidated financial statements included elsewhere in this Proxy Statement/Prospectus for further discussion of the HBC Credit Facility. As of the date hereof, management has not concluded whether the $1.0 million liability will be paid in cash or in shares of common stock in the Combined Company. Therefore, for purposes of the pro forma presentation, management has reflected the $1.0 million base HBC Fee in the form of cash payment in the Unaudited Pro Forma Condensed Combined Balance Sheet to reflect the settlement of this liability, representing the minimum amount payable upon consummation of the Business Combination. Management of the Combined Company will finalize their election to settle this liability in cash or common stock in the Combined Company on the earlier of 1) 30 days following the effectiveness of the registration statement covering the resale of the Initial PIPE Shares or 2) one year following the Closing.</w:t>
      </w:r>
    </w:p>
    <w:p>
      <w:pPr>
        <w:spacing w:after="0" w:line="192" w:lineRule="exact"/>
        <w:rPr>
          <w:sz w:val="20"/>
          <w:szCs w:val="20"/>
          <w:color w:val="auto"/>
        </w:rPr>
      </w:pPr>
    </w:p>
    <w:p>
      <w:pPr>
        <w:jc w:val="both"/>
        <w:ind w:left="4" w:right="380"/>
        <w:spacing w:after="0" w:line="266" w:lineRule="auto"/>
        <w:rPr>
          <w:sz w:val="20"/>
          <w:szCs w:val="20"/>
          <w:color w:val="auto"/>
        </w:rPr>
      </w:pPr>
      <w:r>
        <w:rPr>
          <w:rFonts w:ascii="Times New Roman" w:cs="Times New Roman" w:eastAsia="Times New Roman" w:hAnsi="Times New Roman"/>
          <w:sz w:val="18"/>
          <w:szCs w:val="18"/>
          <w:color w:val="auto"/>
        </w:rPr>
        <w:t>Except to the extent otherwise noted above, the final accounting treatment related to the proposed Business Combination, including the accounting treatment of Earnout Shares, Public Warrants, and Private Placement Warrants and potential post-Closing HBC Fee obligations will be finalized by Teamshares and reported in the first reporting period following the consummation of the Business Combination.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Post-Transaction Reporting Consideration</w:t>
      </w:r>
    </w:p>
    <w:p>
      <w:pPr>
        <w:spacing w:after="0" w:line="121"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After the Business Combination is consummated, Teamshares’ historical financial statements will replace those of Live Oak beginning with the filing of the financial statements that first include the Business Combination.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 forma Ownership after the Business Combination</w:t>
      </w:r>
    </w:p>
    <w:p>
      <w:pPr>
        <w:spacing w:after="0" w:line="22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presents the post-Closing share ownership of Combined Company outstanding shares immediately after the Closing excluding the dilutive effect of (i) shares of Combined Company Common Stock underlying the Assumed Vested Options, (ii) the Earnout Shares, (iii) the Founder Post-Closing Restricted Shares, (iv) the Combined Company Warrants issued at the Closing in respect of Live Oak Private Placement Warrants, and (v) the Combined Company Warrants issued at the Closing in respect of Live Oak Public Warrants.</w:t>
      </w:r>
    </w:p>
    <w:p>
      <w:pPr>
        <w:spacing w:after="0" w:line="200"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Equity Capitalization Summary</w:t>
            </w:r>
          </w:p>
        </w:tc>
        <w:tc>
          <w:tcPr>
            <w:tcW w:w="37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Live Oak Public Shareholders</w:t>
            </w: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vMerge w:val="continue"/>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561,341</w:t>
            </w:r>
          </w:p>
        </w:tc>
        <w:tc>
          <w:tcPr>
            <w:tcW w:w="3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5"/>
                <w:szCs w:val="25"/>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3,450,000</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Initial PIPE Investors</w:t>
            </w:r>
            <w:r>
              <w:rPr>
                <w:rFonts w:ascii="Times New Roman" w:cs="Times New Roman" w:eastAsia="Times New Roman" w:hAnsi="Times New Roman"/>
                <w:sz w:val="25"/>
                <w:szCs w:val="25"/>
                <w:color w:val="auto"/>
                <w:vertAlign w:val="superscript"/>
              </w:rPr>
              <w:t>(3)</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Teamshares Stockholders</w:t>
            </w:r>
            <w:r>
              <w:rPr>
                <w:rFonts w:ascii="Times New Roman" w:cs="Times New Roman" w:eastAsia="Times New Roman" w:hAnsi="Times New Roman"/>
                <w:sz w:val="25"/>
                <w:szCs w:val="25"/>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49,435,918</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SAFE Investors</w:t>
            </w:r>
            <w:r>
              <w:rPr>
                <w:rFonts w:ascii="Times New Roman" w:cs="Times New Roman" w:eastAsia="Times New Roman" w:hAnsi="Times New Roman"/>
                <w:sz w:val="25"/>
                <w:szCs w:val="25"/>
                <w:color w:val="auto"/>
                <w:vertAlign w:val="superscript"/>
              </w:rPr>
              <w:t>(4)</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751,343</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FPA Investor</w:t>
            </w:r>
            <w:r>
              <w:rPr>
                <w:rFonts w:ascii="Times New Roman" w:cs="Times New Roman" w:eastAsia="Times New Roman" w:hAnsi="Times New Roman"/>
                <w:sz w:val="25"/>
                <w:szCs w:val="25"/>
                <w:color w:val="auto"/>
                <w:vertAlign w:val="superscript"/>
              </w:rPr>
              <w:t>(5)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(6)</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37,171</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71,985,774</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160" w:hanging="424"/>
        <w:spacing w:after="0" w:line="258" w:lineRule="auto"/>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1,150,000 Founder Post-Closing Restricted Shares, which are subject to vesting upon the occurrence of the Founder Share Tier I Share Price Target and Founder Share Tier II Share Price Target or upon the occurrence of a Qualifying Change of Control during the Founder Share Measurement Period; and (ii) 524,765 remaining Incentive Founder Shares. Live Oak used a total of 100,471 Incentive Founder Shares to incentivize commitments from certain investors in Financing Transactions, secure Trust Account non-redemption or backstop arrangements or otherwise provide support in connection with any financing transaction (inclusive of the SAFE Investor Founder Shares).</w:t>
      </w:r>
    </w:p>
    <w:p>
      <w:pPr>
        <w:sectPr>
          <w:pgSz w:w="11900" w:h="16838" w:orient="portrait"/>
          <w:cols w:equalWidth="0" w:num="1">
            <w:col w:w="10964"/>
          </w:cols>
          <w:pgMar w:left="436" w:top="270" w:right="499" w:bottom="1440" w:gutter="0" w:footer="0" w:header="0"/>
        </w:sectPr>
      </w:pPr>
    </w:p>
    <w:bookmarkStart w:id="181" w:name="page182"/>
    <w:bookmarkEnd w:id="181"/>
    <w:p>
      <w:pPr>
        <w:ind w:left="424" w:hanging="424"/>
        <w:spacing w:after="0" w:line="251" w:lineRule="auto"/>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Represents shares in the Combined Company issued at Closing to Teamshares Stockholders in respect of outstanding Teamshares shares as of immediately prior to the First Effective Time, including, without limitation, any holders of Teamshares stock issued upon exchange or conversion of Company securities issued in Interim Period Financing Transactions, if any, and excludes Earnout Shares, as well as any Initial PIPE Shares issuable at the Closing to Teamshares PIPE Investors. For pro forma shares calculation purposes, Stockholder Merger Consideration has been allocated amongst the Teamshares Stockholders based on such holders’ anticipated Pro Rata Shares (as defined in the Merger Agreement) as of the First Effective Time, taking into account among other assumptions, that (i) holders of all of the outstanding shares of Company Series D-1 Preferred Stock, Company Series D-2 Preferred Stock, Company Series D-NV Preferred Stock, Company Series E Preferred Stock and Company Series E-NV Preferred Stock have elected to receive their liquidation preference, and based on actual Liquidation Preference Elections received by Teamshares from Eligible Preferred Holders as of the date of this Proxy Statement/Prospectus (including that holders of all of the outstanding shares of Company Series C-2 Preferred Stock have waived their Liquidation Preference Election rights and, instead, had their shares of Company Series C-2 Preferred Stock converted into shares of Company Common Stock in accordance with the Mandatory Conversion procedures described in further detail elsewhere in this Proxy Statement/Prospectus), and holders of a portion of the outstanding shares of Company Series C-1 Preferred Stock have made Liquidation Preference Elections and the remainder have Mandatory Conversion Elections, and that (ii) prior to the First Effective Time, outstanding Company Warrants to purchase 77,258 shares of Company Common Stock are net exercised for 48,988 shares of Company Common Stock prior to the First Effective Time.</w:t>
      </w:r>
    </w:p>
    <w:p>
      <w:pPr>
        <w:spacing w:after="0" w:line="11" w:lineRule="exact"/>
        <w:rPr>
          <w:rFonts w:ascii="Times New Roman" w:cs="Times New Roman" w:eastAsia="Times New Roman" w:hAnsi="Times New Roman"/>
          <w:sz w:val="18"/>
          <w:szCs w:val="18"/>
          <w:color w:val="auto"/>
        </w:rPr>
      </w:pPr>
    </w:p>
    <w:p>
      <w:pPr>
        <w:ind w:left="424" w:right="200" w:hanging="424"/>
        <w:spacing w:after="0" w:line="250" w:lineRule="auto"/>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consummation of the approximately $126.5 million Initial PIPE Investment transaction in accordance with the terms of the Initial PIPE Subscription Agreements and includes the issuance of 13,750,000 shares of Combined Company Common Stock to the Initial PIPE Investors (including Teamshares PIPE Investors).</w:t>
      </w:r>
    </w:p>
    <w:p>
      <w:pPr>
        <w:spacing w:after="0" w:line="1"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Teamshares SAFEs, each of such SAFEs automatically converts at the Closing into shares of the Combined Company Common Stock.</w:t>
      </w:r>
    </w:p>
    <w:p>
      <w:pPr>
        <w:ind w:left="424" w:hanging="424"/>
        <w:spacing w:after="0"/>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the FPA Investor.</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Incentive Founder Shares issued to investors who entered into NRAs.</w:t>
      </w:r>
    </w:p>
    <w:p>
      <w:pPr>
        <w:sectPr>
          <w:pgSz w:w="11900" w:h="16838" w:orient="portrait"/>
          <w:cols w:equalWidth="0" w:num="1">
            <w:col w:w="11004"/>
          </w:cols>
          <w:pgMar w:left="436" w:top="270" w:right="459" w:bottom="1440" w:gutter="0" w:footer="0" w:header="0"/>
        </w:sectPr>
      </w:pPr>
    </w:p>
    <w:bookmarkStart w:id="182" w:name="page183"/>
    <w:bookmarkEnd w:id="182"/>
    <w:p>
      <w:pPr>
        <w:ind w:right="49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 As of March 31, 2026 ($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Live Oak</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Teamshares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5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73"/>
        </w:trPr>
        <w:tc>
          <w:tcPr>
            <w:tcW w:w="68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37,030</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74,490</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(A)</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112,644</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Sponsor</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10,801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10,801</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23,049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23,049</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51,028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51,028</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3,116</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2,186</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(1,120)</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(M)</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1,206</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127,129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201,705</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Assets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29,998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29,998</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93,517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93,517</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Net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245,439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245,439</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6,263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6,263</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Names, Net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12,346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12,346</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Prepaid Insurance</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12,625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12,625</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241,144</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(241,144)</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(B)</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Assets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241,144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400,613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400,613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242,350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527,742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602,318</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29,467</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(4,308)</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(L)</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25,159</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1,777</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10,830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(1,777)</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10,830</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Offering Costs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(C)</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14,587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14,587</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2,408</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Debt and Current Portion of Long- Term Debt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214,175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(37,060)</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(J)</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177,115</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9,079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9,079</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12,567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12,567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1,852</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293,113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251,745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2,881</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(2,881)</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6,009</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86,029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86,029</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87,881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87,881</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9,903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(4,100)</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(O)</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5,803</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Teamshares Earnout Shares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41,622</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41,622</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Founder Shares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14,646</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(K)</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14,646</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Advisory Fee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(6,900)</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Fee</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(6,900)</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(C)</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PIPE Subscription Agreements Liability</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16,539</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(16,539)</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(Q)</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Purchase Agreement Liability</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8,083</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(R)</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30,339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192,703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250,073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32,191</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485,816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501,818</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1,762</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Oak Class A Ordinary Shares Subject to Possible Redemption</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241,144</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(241,144)</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(D)</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Teamshares Common Stock</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(P)</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Teamshares Preferred Stock</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328,634</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58,696</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(G)</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387,330</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(30,986)</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(284,652)</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30,858</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(H)</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(284,780)</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Live Oak Preference Shares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Oak Class A Ordinary Shares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Live Oak Class B Ordinary Shares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Combined Company Common Stock</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(F)</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(30,985)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42,684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101,258</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(30,985)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40,163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98,738</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242,350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527,742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602,318</w:t>
            </w:r>
          </w:p>
        </w:tc>
      </w:tr>
    </w:tbl>
    <w:p>
      <w:pPr>
        <w:sectPr>
          <w:pgSz w:w="11900" w:h="16838" w:orient="portrait"/>
          <w:cols w:equalWidth="0" w:num="1">
            <w:col w:w="11020"/>
          </w:cols>
          <w:pgMar w:left="440" w:top="266"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INCOME STATEMENT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 in thousands except per share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Live Oak</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Teamshares</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73"/>
        </w:trPr>
        <w:tc>
          <w:tcPr>
            <w:tcW w:w="63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10"/>
        </w:trPr>
        <w:tc>
          <w:tcPr>
            <w:tcW w:w="63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121,039</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73,096</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73,096</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47,943</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47,943</w:t>
            </w: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Operating Expenses (Income)</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823</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823</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1,704</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1,704</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966</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53,014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1,278</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(AA)</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55,258</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966</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55,338</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57,582</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(966)</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(7,395)</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(9,639)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Expenses (Income)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15,364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(6,604)</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(FF)</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8,760</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(2,102)</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2,102</w:t>
            </w: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(BB)</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(CC)</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Expenses</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 Agreements Liability</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1,265</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(1,265)</w:t>
            </w: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(DD)</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PIPE Subscription Agreements Liability</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Initial Loss on Forward Purchase Agreement Liability</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Non-Operating Expenses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(837)</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15,023</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8,460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(129)</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(22,418)</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(18,099)</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359</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(129)</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(22,777)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(18,458)</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Combined Company</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(22,877)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(18,558)</w:t>
            </w: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Common Stockholders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(129)</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(22,813)</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(18,494)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(19.42)</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r>
    </w:tbl>
    <w:p>
      <w:pPr>
        <w:sectPr>
          <w:pgSz w:w="11900" w:h="16838" w:orient="portrait"/>
          <w:cols w:equalWidth="0" w:num="1">
            <w:col w:w="11020"/>
          </w:cols>
          <w:pgMar w:left="440" w:top="266" w:right="439" w:bottom="1440" w:gutter="0" w:footer="0" w:header="0"/>
        </w:sectPr>
      </w:pPr>
    </w:p>
    <w:bookmarkStart w:id="184" w:name="page185"/>
    <w:bookmarkEnd w:id="184"/>
    <w:p>
      <w:pPr>
        <w:ind w:right="4480"/>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INCOME STATEMENT For the Year Ended December 31, 2025 ($ in thousands except per share information)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Live Oak</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Teamshares</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73"/>
        </w:trPr>
        <w:tc>
          <w:tcPr>
            <w:tcW w:w="67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09"/>
        </w:trPr>
        <w:tc>
          <w:tcPr>
            <w:tcW w:w="67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tcBorders>
              <w:top w:val="single" w:sz="8" w:color="auto"/>
            </w:tcBorders>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471,567</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471,567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288,467</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288,467</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4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183,100</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183,100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 (Income)</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3,086</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3,086</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5,907</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5,907</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2,214</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191,421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12,592</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(AA)</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206,227</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9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19,412</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19,412</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94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(5,418)</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(5,418)</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Advisory Fee</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6,900</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9,114</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214,408</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236,114</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(9,114)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(31,308)</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(53,014)</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Expenses (Income)</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31,191</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31,191</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7,892</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(BB)</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4,642</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4,642</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3,956</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(CC)</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1,326</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w:t>
            </w: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Expenses</w:t>
            </w:r>
          </w:p>
        </w:tc>
        <w:tc>
          <w:tcPr>
            <w:tcW w:w="94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1,284</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Loss on PIPE Subscription Agreements Liability</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15,582</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(15,582)</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(DD)</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PIPE Subscription Agreements Liability</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308</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(DD)</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Loss on Forward Purchase Agreement Liability</w:t>
            </w:r>
          </w:p>
        </w:tc>
        <w:tc>
          <w:tcPr>
            <w:tcW w:w="9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8,083</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8,083</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 Expenses</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7,382</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34,487</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46,526</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(16,495)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(65,795)</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(99,540)</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(16,495)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(66,357)</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(100,102)</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94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the Combined Company</w:t>
            </w:r>
          </w:p>
        </w:tc>
        <w:tc>
          <w:tcPr>
            <w:tcW w:w="9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(65,918)</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(99,663)</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(16,495)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(65,670)</w:t>
            </w: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(99,415)</w:t>
            </w: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940" w:type="dxa"/>
            <w:vAlign w:val="bottom"/>
            <w:gridSpan w:val="2"/>
          </w:tcPr>
          <w:p>
            <w:pPr>
              <w:jc w:val="center"/>
              <w:ind w:left="91"/>
              <w:spacing w:after="0"/>
              <w:rPr>
                <w:sz w:val="20"/>
                <w:szCs w:val="20"/>
                <w:color w:val="auto"/>
              </w:rPr>
            </w:pPr>
            <w:r>
              <w:rPr>
                <w:rFonts w:ascii="Times New Roman" w:cs="Times New Roman" w:eastAsia="Times New Roman" w:hAnsi="Times New Roman"/>
                <w:sz w:val="18"/>
                <w:szCs w:val="18"/>
                <w:color w:val="auto"/>
              </w:rPr>
              <w:t>(0.66)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(56.46)</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r>
    </w:tbl>
    <w:p>
      <w:pPr>
        <w:sectPr>
          <w:pgSz w:w="11900" w:h="16838" w:orient="portrait"/>
          <w:cols w:equalWidth="0" w:num="1">
            <w:col w:w="11020"/>
          </w:cols>
          <w:pgMar w:left="440" w:top="266" w:right="439" w:bottom="1440" w:gutter="0" w:footer="0" w:header="0"/>
        </w:sectPr>
      </w:pPr>
    </w:p>
    <w:bookmarkStart w:id="185" w:name="page186"/>
    <w:bookmarkEnd w:id="185"/>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UNAUDITED PRO FORMA CONDENSED COMBINED FINANCIAL STATEMENTS FOR THE THREE MONTHS ENDED MARCH 31, 2026 AND YEAR ENDED DECEMBER 31, 2025</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and presents the pro forma effects of the Business Combination contemplated by the Merger Agreement.</w:t>
      </w:r>
    </w:p>
    <w:p>
      <w:pPr>
        <w:spacing w:after="0" w:line="162" w:lineRule="exact"/>
        <w:rPr>
          <w:sz w:val="20"/>
          <w:szCs w:val="20"/>
          <w:color w:val="auto"/>
        </w:rPr>
      </w:pPr>
    </w:p>
    <w:p>
      <w:pPr>
        <w:jc w:val="both"/>
        <w:ind w:right="140" w:firstLine="440"/>
        <w:spacing w:after="0" w:line="281" w:lineRule="auto"/>
        <w:rPr>
          <w:sz w:val="20"/>
          <w:szCs w:val="20"/>
          <w:color w:val="auto"/>
        </w:rPr>
      </w:pPr>
      <w:r>
        <w:rPr>
          <w:rFonts w:ascii="Times New Roman" w:cs="Times New Roman" w:eastAsia="Times New Roman" w:hAnsi="Times New Roman"/>
          <w:sz w:val="17"/>
          <w:szCs w:val="17"/>
          <w:color w:val="auto"/>
        </w:rPr>
        <w:t>The unaudited pro forma condensed combined balance sheet gives effect to the Business Combination as if it had occurred on March 31, 2026, and the unaudited pro forma condensed combined statements of operations give effect to the Business Combination as if it had occurred on January 1, 2025, as this is the beginning of the earliest period presented in the unaudited pro forma condensed combined statements of operations. The pro forma adjustments are based upon currently available information and certain assumptions that management believes are reasonable under the circumstances.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legal form of the transactions, the Business Combination was accounted for as a reverse recapitalization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Under this method of accounting:</w:t>
      </w:r>
    </w:p>
    <w:p>
      <w:pPr>
        <w:spacing w:after="0" w:line="112" w:lineRule="exact"/>
        <w:rPr>
          <w:sz w:val="20"/>
          <w:szCs w:val="20"/>
          <w:color w:val="auto"/>
        </w:rPr>
      </w:pPr>
    </w:p>
    <w:p>
      <w:pPr>
        <w:ind w:left="960" w:hanging="424"/>
        <w:spacing w:after="0"/>
        <w:tabs>
          <w:tab w:leader="none" w:pos="9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Teamshares was treated as the accounting acquirer;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Oak was treated as the acquired company for financial reporting purposes.</w:t>
      </w:r>
    </w:p>
    <w:p>
      <w:pPr>
        <w:spacing w:after="0" w:line="225"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Accordingly, the pro forma financial statements represent a continuation of the financial statements of Teamshares, with the Business Combination treated as issuance of equity by Teamshares for the net assets of Live Oak accompanied by a recapitalization. Live Oak’s assets and liabilities will be recorded at historical cost, and no goodwill or intangible assets will be recognized.</w:t>
      </w:r>
    </w:p>
    <w:p>
      <w:pPr>
        <w:spacing w:after="0" w:line="176"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Under the terms of the Merger Agreement, Teamshares stockholders as of the First Effective Time (after taking into account the effects of any Liquidation Preference Elections and, thereafter, after giving effect to the Company Preferred Stock Exchange required by the terms of the Merger Agreement) received 49,435,918 shares of Combined Company Common Stock with an aggregate value equal to the Stockholder Merger Consideration, based on a value of $10.00 per share. Other than Teamshares options which are in-the-money as of the First Effective Time, all Teamshares options, warrants and any other securities convertible or exchangeable for Teamshares shares were terminated as of the First Effective Time.</w:t>
      </w:r>
    </w:p>
    <w:p>
      <w:pPr>
        <w:spacing w:after="0" w:line="16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qualifying Earnout Participants received a right to certain Earnout Shares, if any such shares are issued to Earnout Participants upon the achievement, if any, of specified share price targets or other events or conditions which may occur during the post-Closing Earnout Period. The Deferred Founder Shares are subject to forfeiture and shall vest if certain Founder Share Triggering Events are achieved during the Founder Share Measurement Period. If none of the Founder Share Triggering Events occur during the Founder Share Measurement Period the Deferred Founder Shares will be forfeited.</w:t>
      </w:r>
    </w:p>
    <w:p>
      <w:pPr>
        <w:spacing w:after="0" w:line="183"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Contemporaneously with execution of the Original Merger Agreement, Live Oak entered into Initial PIPE Subscription Agreements for the Initial PIPE Investment. The Initial PIPE Investment is reflected in the pro forma financial information.</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Direct and incremental transaction costs incurred prior to or concurrent with the Closing are reflected as a reduction to accumulated deficit in the unaudited pro forma condensed combined balance sheet, to the extent such costs are factually supportable. Any amounts that remain contingent or uncertain have not been included.</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pro forma financial information includes only Transaction Accounting Adjustments required by Article 11 of Regulation S-X. The Company is subject to U.S. federal and state income taxes and files on a consolidated basis, aggregating relevant tax attributes in determining consolidated taxable income. In light of the Company’s significant NOL carryforwards, which are reflected in deferred tax assets, any incremental pro forma tax effects are not expected to be material, provided, however, that the extent to which Teamshares NOLs may be carried forward and relevant, in relation to the Company’s tax liabilities after the Closing, if at all, is not yet certain and Teamshares management continues to analyze the tax implications of the transaction, including relative to NOLs, as of the date of this Proxy Statement/Prospectus; accordingly, no pro forma income tax adjustments are presented. The Company’s primary current tax exposure is state income taxes, recorded as a component of current income tax expense. Management will reassess tax impacts, including the utilization and valuation of NOLs, upon Closing.</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Management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 The unaudited pro forma condensed combined statements of operations are not necessarily indicative of what the actual results of operations would have been had the Business Combination taken place on the date indicated, nor are they indicative of the future consolidated results of operations of the Combined Company. They should be read in conjunction with the historical consolidated financial statements and notes thereto of Teamshares and Live Oak.</w:t>
      </w:r>
    </w:p>
    <w:p>
      <w:pPr>
        <w:sectPr>
          <w:pgSz w:w="11900" w:h="16838" w:orient="portrait"/>
          <w:cols w:equalWidth="0" w:num="1">
            <w:col w:w="11000"/>
          </w:cols>
          <w:pgMar w:left="440" w:top="266" w:right="459" w:bottom="1440" w:gutter="0" w:footer="0" w:header="0"/>
        </w:sectPr>
      </w:pPr>
    </w:p>
    <w:bookmarkStart w:id="186" w:name="page187"/>
    <w:bookmarkEnd w:id="186"/>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its initial analysis, management did not identify any differences in accounting policies that would have a material impact on the unaudited pro forma condensed combined financial information. As a result, the unaudited pro forma condensed combined financial information does not assume any differences in accounting policies. Upon consummation of the Business Combination,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the Combined Company.</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2. Adjustments to Unaudited Pro Forma Condensed Combined Financial Information</w:t>
      </w:r>
    </w:p>
    <w:p>
      <w:pPr>
        <w:spacing w:after="0" w:line="229"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the other transactions contemplated by the Merger Agreement and has been prepared for informational purposes only.</w:t>
      </w:r>
    </w:p>
    <w:p>
      <w:pPr>
        <w:spacing w:after="0" w:line="54"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are based on certain currently available information and certain assumptions and methodologies that management believes are reasonable under the circumstances. The unaudited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Live Oak and Teamshares have not had any historical relationship prior to the Business Combination.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Accordingly, no pro forma adjustments were required to eliminate activities between the companies.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reflects the following adjustments:</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Represents pro forma adjustments to cash to reflect the following:</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held in Trust Account(1)</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48,149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Initial PIPE Subscription Agreements(2)</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126,500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accrued transaction costs by Live Oak(3)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Payment of accrued transaction costs by Teamshares(4)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the debt obligations concurrent with the merger(5)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Teamshares SAFEs subsequent to March 31, 2026(6)</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the Prepayment Amount related to the Forward Purchase Agreement(7)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(42,240)</w:t>
            </w: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74,490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4" w:right="500" w:hanging="424"/>
        <w:spacing w:after="0" w:line="261"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cash equivalents held in the trust account inclusive of accrued interest and after giving effect to the impact of redemptions. See adjustment (B) for the corresponding offset.</w:t>
      </w:r>
    </w:p>
    <w:p>
      <w:pPr>
        <w:ind w:left="424" w:right="80" w:hanging="424"/>
        <w:spacing w:after="0" w:line="250"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proceeds of approximately $126.5 million from the issuance and sale of 13,750,000 shares of Combined Company Common Stock at $9.20 per share in the Initial PIPE Investment transaction pursuant to the Initial PIPE Subscription Agreements. See adjustment (F)(1) for the corresponding offset to Combined Company Common Stock and adjustment (G)(2) for the corresponding offset to additional paid-in capital.</w:t>
      </w:r>
    </w:p>
    <w:p>
      <w:pPr>
        <w:spacing w:after="0" w:line="1" w:lineRule="exact"/>
        <w:rPr>
          <w:rFonts w:ascii="Times New Roman" w:cs="Times New Roman" w:eastAsia="Times New Roman" w:hAnsi="Times New Roman"/>
          <w:sz w:val="18"/>
          <w:szCs w:val="18"/>
          <w:color w:val="auto"/>
        </w:rPr>
      </w:pPr>
    </w:p>
    <w:p>
      <w:pPr>
        <w:ind w:left="424" w:hanging="424"/>
        <w:spacing w:after="0" w:line="265" w:lineRule="auto"/>
        <w:tabs>
          <w:tab w:leader="none" w:pos="424"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payment of $15.7 million of transaction costs incurred by Live Oak, including: (i) $9.1 million of transaction costs that were incurred prior to March 31, 2026 that will be paid concurrent with the Merger, of which, $0.3 million were recorded as Deferred Underwriting Fee (reduced from $6.9 million), $6.9 million were recorded as Deferred Advisory Fee related to Live Oak’s Initial Public Offering, $1.8 million were recorded as Accrued Expenses, and $0.1 million were recorded as Accrued Offering Costs as of March 31, 2026. (See adjustment (C) for the corresponding offsets to these accounts). These costs were expensed as incurred. The $0.3 million Deferred Underwriting Fee is included in the approximately $4.1 million that Santander received pursuant to the terms of the Teamshares-Santander Advisory and Placement Agent Agreement. (ii)</w:t>
      </w:r>
    </w:p>
    <w:p>
      <w:pPr>
        <w:ind w:left="424" w:right="4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$6.7 million of transaction fees incurred after March 31, 2026, including the $3.8 million PIPE Placement Fee, and $2.9 million of legal and advisory fees. See adjustment (G)(10) for the corresponding offset. The $3.8 million PIPE Placement Fee is included in the approximately $4.1 million that Santander received pursuant to the terms of the Teamshares-Santander Advisory and Placement Agent Agreement.</w:t>
      </w:r>
    </w:p>
    <w:p>
      <w:pPr>
        <w:sectPr>
          <w:pgSz w:w="11900" w:h="16838" w:orient="portrait"/>
          <w:cols w:equalWidth="0" w:num="1">
            <w:col w:w="11004"/>
          </w:cols>
          <w:pgMar w:left="436" w:top="270" w:right="459" w:bottom="1440" w:gutter="0" w:footer="0" w:header="0"/>
        </w:sectPr>
      </w:pPr>
    </w:p>
    <w:bookmarkStart w:id="187" w:name="page188"/>
    <w:bookmarkEnd w:id="187"/>
    <w:p>
      <w:pPr>
        <w:ind w:left="424" w:right="280" w:hanging="424"/>
        <w:spacing w:after="0" w:line="270" w:lineRule="auto"/>
        <w:tabs>
          <w:tab w:leader="none" w:pos="424"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the payment of $7.4 million of transaction costs incurred by Teamshares, including: (i) $2.2 million of transaction costs recorded in Accounts Payable as of March 31, 2026 payable concurrent with the Merger (See adjustment (L) for the offset to accounts payable). These fees include legal and advisory services directly supporting the preparation and filing of the registration statement. These fees were concurrently reclassified to a reduction in additional paid-in capital concurrent with the Closing, up to the gross proceeds of the offering. See adjustments</w:t>
      </w:r>
    </w:p>
    <w:p>
      <w:pPr>
        <w:spacing w:after="0" w:line="2" w:lineRule="exact"/>
        <w:rPr>
          <w:rFonts w:ascii="Times New Roman" w:cs="Times New Roman" w:eastAsia="Times New Roman" w:hAnsi="Times New Roman"/>
          <w:sz w:val="17"/>
          <w:szCs w:val="17"/>
          <w:color w:val="auto"/>
        </w:rPr>
      </w:pPr>
    </w:p>
    <w:p>
      <w:pPr>
        <w:ind w:left="424"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 and (G)(9) for discussion of Other Current Assets and additional paid-in capital, respectively. Management evaluated the nature of all transaction-related costs in accordance with Staff Accounting Bulletin Topic 5.A and ASC 340 10-S99-1. (ii) A total of $2.1 million of transaction costs that were incurred prior to March 31, 2026 that were not directly attributable to the offering, and therefore were expensed as incurred. These fees include legal and advisory services related to the negotiation and structuring of the Merger Agreement, accounting and audit services for historical financial statements, and other professional services that are not directly attributable to the offering. These costs were recorded in Accounts Payable as of March 31, 2026 and were payable concurrently with the Merger. See adjustment (L) for the offset to accounts payable. (iii) $2.3 million of legal and advisory costs incurred after March 31, 2026 that are specific incremental costs directly attributable to the offering. The nature of these costs is consistent with those described in adjustment (A)(4)(i). See adjustment (G)(9) for the corresponding offset. (iv)</w:t>
      </w:r>
    </w:p>
    <w:p>
      <w:pPr>
        <w:spacing w:after="0" w:line="3" w:lineRule="exact"/>
        <w:rPr>
          <w:rFonts w:ascii="Times New Roman" w:cs="Times New Roman" w:eastAsia="Times New Roman" w:hAnsi="Times New Roman"/>
          <w:sz w:val="17"/>
          <w:szCs w:val="17"/>
          <w:color w:val="auto"/>
        </w:rPr>
      </w:pPr>
    </w:p>
    <w:p>
      <w:pPr>
        <w:ind w:left="424" w:right="4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$0.8 million of transaction costs incurred after March 31, 2026 that are not specific incremental costs directly attributable to the offering. The nature of these costs is consistent with those described in adjustment (A)(4)(ii). See adjustment (H)(3) for the corresponding offset.</w:t>
      </w:r>
    </w:p>
    <w:p>
      <w:pPr>
        <w:ind w:left="424" w:right="200" w:hanging="424"/>
        <w:spacing w:after="0" w:line="250" w:lineRule="auto"/>
        <w:tabs>
          <w:tab w:leader="none" w:pos="4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repayment of $33.9 million in connection with the maturity of the HBC Credit Facility which was paid upon the Closing (see adjustment (J)(1)), the payment of $1.0 million of HBC Fees in cash which will be payable upon the Closing (see adjustment (J)(2)), and the payment of $2.2 million of deferred consideration for an operating subsidiary that was acquired during 2025 which is required within 60 days of the Closing (see adjustment (J)(3)).</w:t>
      </w:r>
    </w:p>
    <w:p>
      <w:pPr>
        <w:spacing w:after="0" w:line="1" w:lineRule="exact"/>
        <w:rPr>
          <w:rFonts w:ascii="Times New Roman" w:cs="Times New Roman" w:eastAsia="Times New Roman" w:hAnsi="Times New Roman"/>
          <w:sz w:val="18"/>
          <w:szCs w:val="18"/>
          <w:color w:val="auto"/>
        </w:rPr>
      </w:pPr>
    </w:p>
    <w:p>
      <w:pPr>
        <w:ind w:left="424" w:right="340" w:hanging="424"/>
        <w:spacing w:after="0" w:line="265" w:lineRule="auto"/>
        <w:tabs>
          <w:tab w:leader="none" w:pos="424"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proceeds of $2.2 million from Teamshares SAFEs that were received subsequent to March 31, 2026. See adjustment (F)(4) for the corresponding offset to Combined Company Common Stock and adjustment (G)(5) for the corresponding offset to additional paid-in capital.</w:t>
      </w:r>
    </w:p>
    <w:p>
      <w:pPr>
        <w:ind w:left="424" w:right="620" w:hanging="424"/>
        <w:spacing w:after="0" w:line="250" w:lineRule="auto"/>
        <w:tabs>
          <w:tab w:leader="none" w:pos="4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$42.2 million Prepayment Amount paid by the Combined Company to the FPA Investor as described in the Forward Purchase Agreement. See adjustment (G)(13) for the corresponding offset.</w:t>
      </w:r>
    </w:p>
    <w:p>
      <w:pPr>
        <w:spacing w:after="0" w:line="1" w:lineRule="exact"/>
        <w:rPr>
          <w:sz w:val="20"/>
          <w:szCs w:val="20"/>
          <w:color w:val="auto"/>
        </w:rPr>
      </w:pPr>
    </w:p>
    <w:p>
      <w:pPr>
        <w:ind w:left="424" w:right="200" w:hanging="424"/>
        <w:spacing w:after="0" w:line="250" w:lineRule="auto"/>
        <w:tabs>
          <w:tab w:leader="none" w:pos="42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approximately $48.1 million of cash and investments held in the trust account as of March 31, 2026 that becomes available following the Business Combination, after giving effect to the impact of redemptions. See adjustment (A)(1) for the corresponding offset.</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$0.3 million of deferred underwriter fees (reduced from $6.9 million after redemptions; see adjustment (G)(15)),</w:t>
      </w:r>
    </w:p>
    <w:p>
      <w:pPr>
        <w:spacing w:after="0" w:line="9" w:lineRule="exact"/>
        <w:rPr>
          <w:rFonts w:ascii="Times New Roman" w:cs="Times New Roman" w:eastAsia="Times New Roman" w:hAnsi="Times New Roman"/>
          <w:sz w:val="18"/>
          <w:szCs w:val="18"/>
          <w:color w:val="auto"/>
        </w:rPr>
      </w:pPr>
    </w:p>
    <w:p>
      <w:pPr>
        <w:ind w:left="424" w:right="4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million of deferred advisory fees incurred during the Live Oak initial public offering due upon completion of the Business Combination, $0.1 million of Accrued Offering Costs, and $1.8 million of Accrued Expenses that were accrued by Live Oak as of March 31, 2026 (See adjustment (A)(3)(i) for the corresponding offsets).</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4,561,341 Live Oak public shares, subject to possible redemption, from mezzanine equity to permanent equity, after giving effect to the impact of redemptions of 18,438,659 shares. The unaudited pro forma condensed balance sheet reflects the reclassification with a corresponding increase of $48.1 million to additional paid in-capital (Adjustment (G)(1)) and an increase of an immaterial amount to Combined Company Common Stock (Adjustment (F)(5)). The corresponding offset for cash paid to redeeming shareholders is included in adjustment (B).</w:t>
      </w:r>
    </w:p>
    <w:p>
      <w:pPr>
        <w:spacing w:after="0" w:line="1"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Live Oak Class B Ordinary Shares (which were converted into Live Oak Class B Common Stock pursuant to the Domestication and subsequently converted into Combined Company Common Stock pursuant to the Interim Charter) to Combined Company Common Stock in connection with the Business Combination. See adjustment (F)(6) for the corresponding offset to Combined Company Common Stock and adjustment (G)(6) for the corresponding offset to additional paid-in capital.</w:t>
      </w:r>
    </w:p>
    <w:p>
      <w:pPr>
        <w:spacing w:after="0" w:line="9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 forma adjustments to Combined Company Common Stock balance to reflect the following:</w:t>
      </w:r>
    </w:p>
    <w:p>
      <w:pPr>
        <w:spacing w:after="0" w:line="261" w:lineRule="exact"/>
        <w:rPr>
          <w:sz w:val="20"/>
          <w:szCs w:val="20"/>
          <w:color w:val="auto"/>
        </w:rPr>
      </w:pPr>
    </w:p>
    <w:tbl>
      <w:tblPr>
        <w:tblLayout w:type="fixed"/>
        <w:tblInd w:w="1764" w:type="dxa"/>
        <w:tblCellMar>
          <w:top w:w="0" w:type="dxa"/>
          <w:left w:w="0" w:type="dxa"/>
          <w:bottom w:w="0" w:type="dxa"/>
          <w:right w:w="0" w:type="dxa"/>
        </w:tblCellMar>
      </w:tblPr>
      <w:tr>
        <w:trPr>
          <w:trHeight w:val="207"/>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Combined Company Common Stock from Initial PIPE financing per Initial PIPE</w:t>
            </w:r>
          </w:p>
        </w:tc>
        <w:tc>
          <w:tcPr>
            <w:tcW w:w="540" w:type="dxa"/>
            <w:vAlign w:val="bottom"/>
            <w:shd w:val="clear" w:color="auto" w:fill="CCEEFF"/>
          </w:tcPr>
          <w:p>
            <w:pPr>
              <w:spacing w:after="0"/>
              <w:rPr>
                <w:sz w:val="18"/>
                <w:szCs w:val="18"/>
                <w:color w:val="auto"/>
              </w:rPr>
            </w:pPr>
          </w:p>
        </w:tc>
      </w:tr>
      <w:tr>
        <w:trPr>
          <w:trHeight w:val="23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Agreements(1)</w:t>
            </w: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Recapitalization of Teamshares preferred stock and common stock to Combined Company</w:t>
            </w:r>
          </w:p>
        </w:tc>
        <w:tc>
          <w:tcPr>
            <w:tcW w:w="540" w:type="dxa"/>
            <w:vAlign w:val="bottom"/>
          </w:tcPr>
          <w:p>
            <w:pPr>
              <w:spacing w:after="0"/>
              <w:rPr>
                <w:sz w:val="17"/>
                <w:szCs w:val="17"/>
                <w:color w:val="auto"/>
              </w:rPr>
            </w:pPr>
          </w:p>
        </w:tc>
      </w:tr>
      <w:tr>
        <w:trPr>
          <w:trHeight w:val="234"/>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Stock(2)</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Combined Company Common Stock from exercised Teamshares Warrants(3)</w:t>
            </w: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Combined Company Common Stock from conversion of Teamshares SAFEs(4)</w:t>
            </w:r>
          </w:p>
        </w:tc>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Live Oak public shares subject to redemption, to permanent equity(5)</w:t>
            </w: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Live Oak Class B Ordinary Shares (which were converted into Live Oak</w:t>
            </w:r>
          </w:p>
        </w:tc>
        <w:tc>
          <w:tcPr>
            <w:tcW w:w="540" w:type="dxa"/>
            <w:vAlign w:val="bottom"/>
          </w:tcPr>
          <w:p>
            <w:pPr>
              <w:spacing w:after="0"/>
              <w:rPr>
                <w:sz w:val="17"/>
                <w:szCs w:val="17"/>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pursuant to the Domestication and subsequently converted into</w:t>
            </w:r>
          </w:p>
        </w:tc>
        <w:tc>
          <w:tcPr>
            <w:tcW w:w="540" w:type="dxa"/>
            <w:vAlign w:val="bottom"/>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Company Common Stock pursuant to the Interim Charter) to Combined</w:t>
            </w:r>
          </w:p>
        </w:tc>
        <w:tc>
          <w:tcPr>
            <w:tcW w:w="540" w:type="dxa"/>
            <w:vAlign w:val="bottom"/>
          </w:tcPr>
          <w:p>
            <w:pPr>
              <w:spacing w:after="0"/>
              <w:rPr>
                <w:sz w:val="18"/>
                <w:szCs w:val="18"/>
                <w:color w:val="auto"/>
              </w:rPr>
            </w:pPr>
          </w:p>
        </w:tc>
      </w:tr>
      <w:tr>
        <w:trPr>
          <w:trHeight w:val="234"/>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Common Stock in connection with the Business Combination(6)</w:t>
            </w:r>
          </w:p>
        </w:tc>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Incentive Founder Shares to investors who entered into NRAs (7)</w:t>
            </w: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6</w:t>
            </w:r>
          </w:p>
        </w:tc>
      </w:tr>
    </w:tbl>
    <w:p>
      <w:pPr>
        <w:sectPr>
          <w:pgSz w:w="11900" w:h="16838" w:orient="portrait"/>
          <w:cols w:equalWidth="0" w:num="1">
            <w:col w:w="11024"/>
          </w:cols>
          <w:pgMar w:left="436" w:top="270" w:right="439" w:bottom="1440" w:gutter="0" w:footer="0" w:header="0"/>
        </w:sectPr>
      </w:pPr>
    </w:p>
    <w:bookmarkStart w:id="188" w:name="page189"/>
    <w:bookmarkEnd w:id="188"/>
    <w:p>
      <w:pPr>
        <w:ind w:left="424" w:right="20" w:hanging="424"/>
        <w:spacing w:after="0" w:line="257" w:lineRule="auto"/>
        <w:tabs>
          <w:tab w:leader="none" w:pos="4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the proceeds of approximately $126.5 million from the issuance and sale of 13,750,000 shares of Combined Company Common Stock (par value of $0.0001 per share) at $9.20 per share in the Initial PIPE Investment transaction pursuant to the Initial PIPE Subscription Agreements. See adjustment (A)(2) for the corresponding offset in cash and adjustment (G)(2) for the corresponding offset to additional paid-in capital.</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of Teamshares preferred stock and common stock into 49,214,976 shares of Combined Company Common Stock (par value of $0.0001 per share). See adjustment (P) for the offset to Teamshares’ Common Stock and Preferred Stock Par Value and adjustment (G)(3) for the corresponding offset in additional paid-in capital.</w:t>
      </w:r>
    </w:p>
    <w:p>
      <w:pPr>
        <w:spacing w:after="0" w:line="1" w:lineRule="exact"/>
        <w:rPr>
          <w:rFonts w:ascii="Times New Roman" w:cs="Times New Roman" w:eastAsia="Times New Roman" w:hAnsi="Times New Roman"/>
          <w:sz w:val="18"/>
          <w:szCs w:val="18"/>
          <w:color w:val="auto"/>
        </w:rPr>
      </w:pPr>
    </w:p>
    <w:p>
      <w:pPr>
        <w:ind w:left="424" w:right="540" w:hanging="424"/>
        <w:spacing w:after="0" w:line="265" w:lineRule="auto"/>
        <w:tabs>
          <w:tab w:leader="none" w:pos="424"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issuance of 220,942 shares of Combined Company Common Stock (par value of $0.0001 per share) in relation to exercised Teamshares Warrants. See adjustment (N) for the offset to warrant liability and adjustment (G)(4) for the offset to additional paid-in capital.</w:t>
      </w:r>
    </w:p>
    <w:p>
      <w:pPr>
        <w:ind w:left="424" w:right="20" w:hanging="424"/>
        <w:spacing w:after="0" w:line="250" w:lineRule="auto"/>
        <w:tabs>
          <w:tab w:leader="none" w:pos="4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751,343 shares of Combined Company Common Stock (par value of $0.0001 per share) in relation to Teamshares SAFEs. $4.1 million of the SAFEs were received in 2025 and during the three months ended March 31, 2026 and $2.2 million were received subsequent to March 31, 2026. See adjustment (O) for the offset related to the SAFE liability as of March 31, 2026, adjustment (A)(6) for the SAFEs received subsequent to March 31, 2026, and adjustment (G)(5) for the offset to additional paid-in capital.</w:t>
      </w:r>
    </w:p>
    <w:p>
      <w:pPr>
        <w:spacing w:after="0" w:line="1" w:lineRule="exact"/>
        <w:rPr>
          <w:rFonts w:ascii="Times New Roman" w:cs="Times New Roman" w:eastAsia="Times New Roman" w:hAnsi="Times New Roman"/>
          <w:sz w:val="18"/>
          <w:szCs w:val="18"/>
          <w:color w:val="auto"/>
        </w:rPr>
      </w:pPr>
    </w:p>
    <w:p>
      <w:pPr>
        <w:ind w:left="424" w:right="300" w:hanging="424"/>
        <w:spacing w:after="0" w:line="250" w:lineRule="auto"/>
        <w:tabs>
          <w:tab w:leader="none" w:pos="4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Live Oak public shares subject to redemption, after giving effect to the impact of redemptions, to permanent equity. This results in the issuance of 4,561,341 shares of Combined Company Common Stock (par value of $0.0001 per share). See adjustment (D) for the corresponding offset to Live Oak public shares subject to redemption and adjustment (G)(1) for the offset to additional paid-in capital.</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Live Oak Class B Ordinary Shares (which were converted into Live Oak Class B Common Stock pursuant to the Domestication and subsequently converted into Combined Company Common Stock pursuant to the Interim Charter) to 3,450,000 shares of Combined Company Common Stock (par value of $0.0001 per share) in connection with the Business Combination. See adjustment (E) for offset to Live Oak Class B Ordinary Shares and adjustment (G)(6) for the corresponding offset to additional paid-in capital.</w:t>
      </w:r>
    </w:p>
    <w:p>
      <w:pPr>
        <w:spacing w:after="0" w:line="1" w:lineRule="exact"/>
        <w:rPr>
          <w:rFonts w:ascii="Times New Roman" w:cs="Times New Roman" w:eastAsia="Times New Roman" w:hAnsi="Times New Roman"/>
          <w:sz w:val="18"/>
          <w:szCs w:val="18"/>
          <w:color w:val="auto"/>
        </w:rPr>
      </w:pPr>
    </w:p>
    <w:p>
      <w:pPr>
        <w:ind w:left="424" w:right="460" w:hanging="424"/>
        <w:spacing w:after="0" w:line="260" w:lineRule="auto"/>
        <w:tabs>
          <w:tab w:leader="none" w:pos="4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37,171 shares of Combined Company Common Stock (par value of $0.0001 per share) to investors who entered into non-redemption agreements (NRAs). See adjustment (E) for offset to Live Oak Class B Ordinary Shares.</w:t>
      </w:r>
    </w:p>
    <w:p>
      <w:pPr>
        <w:spacing w:after="0" w:line="87" w:lineRule="exact"/>
        <w:rPr>
          <w:sz w:val="20"/>
          <w:szCs w:val="20"/>
          <w:color w:val="auto"/>
        </w:rPr>
      </w:pPr>
    </w:p>
    <w:p>
      <w:pPr>
        <w:ind w:left="424" w:hanging="424"/>
        <w:spacing w:after="0"/>
        <w:tabs>
          <w:tab w:leader="none" w:pos="4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 forma adjustments to additional paid-in capital balance to reflect the following:</w:t>
      </w:r>
    </w:p>
    <w:p>
      <w:pPr>
        <w:spacing w:after="0" w:line="261" w:lineRule="exact"/>
        <w:rPr>
          <w:sz w:val="20"/>
          <w:szCs w:val="20"/>
          <w:color w:val="auto"/>
        </w:rPr>
      </w:pPr>
    </w:p>
    <w:tbl>
      <w:tblPr>
        <w:tblLayout w:type="fixed"/>
        <w:tblInd w:w="1764" w:type="dxa"/>
        <w:tblCellMar>
          <w:top w:w="0" w:type="dxa"/>
          <w:left w:w="0" w:type="dxa"/>
          <w:bottom w:w="0" w:type="dxa"/>
          <w:right w:w="0" w:type="dxa"/>
        </w:tblCellMar>
      </w:tblPr>
      <w:tr>
        <w:trPr>
          <w:trHeight w:val="20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Live Oak public shares subject to redemption, to permanent equity,</w:t>
            </w:r>
          </w:p>
        </w:tc>
        <w:tc>
          <w:tcPr>
            <w:tcW w:w="840" w:type="dxa"/>
            <w:vAlign w:val="bottom"/>
            <w:shd w:val="clear" w:color="auto" w:fill="CCEEFF"/>
          </w:tcPr>
          <w:p>
            <w:pPr>
              <w:spacing w:after="0"/>
              <w:rPr>
                <w:sz w:val="17"/>
                <w:szCs w:val="17"/>
                <w:color w:val="auto"/>
              </w:rPr>
            </w:pPr>
          </w:p>
        </w:tc>
      </w:tr>
      <w:tr>
        <w:trPr>
          <w:trHeight w:val="234"/>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increase in par value of common stock(1)</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48,149</w:t>
            </w:r>
          </w:p>
        </w:tc>
      </w:tr>
      <w:tr>
        <w:trPr>
          <w:trHeight w:val="198"/>
        </w:trPr>
        <w:tc>
          <w:tcPr>
            <w:tcW w:w="6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Combined Company Common Stock from Initial PIPE financing per Initial</w:t>
            </w:r>
          </w:p>
        </w:tc>
        <w:tc>
          <w:tcPr>
            <w:tcW w:w="840" w:type="dxa"/>
            <w:vAlign w:val="bottom"/>
          </w:tcPr>
          <w:p>
            <w:pPr>
              <w:spacing w:after="0"/>
              <w:rPr>
                <w:sz w:val="17"/>
                <w:szCs w:val="17"/>
                <w:color w:val="auto"/>
              </w:rPr>
            </w:pPr>
          </w:p>
        </w:tc>
      </w:t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PIPE Subscription Agreements(2)</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126,499</w:t>
            </w:r>
          </w:p>
        </w:tc>
      </w:tr>
      <w:tr>
        <w:trPr>
          <w:trHeight w:val="198"/>
        </w:trPr>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Recapitalization of Teamshares preferred stock and common stock to Combined</w:t>
            </w:r>
          </w:p>
        </w:tc>
        <w:tc>
          <w:tcPr>
            <w:tcW w:w="840" w:type="dxa"/>
            <w:vAlign w:val="bottom"/>
            <w:shd w:val="clear" w:color="auto" w:fill="CCEEFF"/>
          </w:tcPr>
          <w:p>
            <w:pPr>
              <w:spacing w:after="0"/>
              <w:rPr>
                <w:sz w:val="17"/>
                <w:szCs w:val="17"/>
                <w:color w:val="auto"/>
              </w:rPr>
            </w:pPr>
          </w:p>
        </w:tc>
      </w:tr>
      <w:tr>
        <w:trPr>
          <w:trHeight w:val="234"/>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Common Stock(3)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Combined Company Common Stock from exercised Teamshares Warrants(4)</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2,209</w:t>
            </w:r>
          </w:p>
        </w:tc>
      </w:tr>
      <w:tr>
        <w:trPr>
          <w:trHeight w:val="198"/>
        </w:trPr>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Combined Company Common Stock from conversion of Teamshares</w:t>
            </w:r>
          </w:p>
        </w:tc>
        <w:tc>
          <w:tcPr>
            <w:tcW w:w="840" w:type="dxa"/>
            <w:vAlign w:val="bottom"/>
            <w:shd w:val="clear" w:color="auto" w:fill="CCEEFF"/>
          </w:tcPr>
          <w:p>
            <w:pPr>
              <w:spacing w:after="0"/>
              <w:rPr>
                <w:sz w:val="17"/>
                <w:szCs w:val="17"/>
                <w:color w:val="auto"/>
              </w:rPr>
            </w:pPr>
          </w:p>
        </w:tc>
      </w:tr>
      <w:tr>
        <w:trPr>
          <w:trHeight w:val="234"/>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SAFEs(5)</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6,330</w:t>
            </w:r>
          </w:p>
        </w:tc>
      </w:tr>
      <w:tr>
        <w:trPr>
          <w:trHeight w:val="198"/>
        </w:trPr>
        <w:tc>
          <w:tcPr>
            <w:tcW w:w="6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Live Oak Class B Ordinary Shares (which were converted into Live Oak</w:t>
            </w:r>
          </w:p>
        </w:tc>
        <w:tc>
          <w:tcPr>
            <w:tcW w:w="840" w:type="dxa"/>
            <w:vAlign w:val="bottom"/>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pursuant to the Domestication and subsequently converted into</w:t>
            </w:r>
          </w:p>
        </w:tc>
        <w:tc>
          <w:tcPr>
            <w:tcW w:w="840" w:type="dxa"/>
            <w:vAlign w:val="bottom"/>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Company Common Stock in connection with the Closing) to Combined</w:t>
            </w:r>
          </w:p>
        </w:tc>
        <w:tc>
          <w:tcPr>
            <w:tcW w:w="840" w:type="dxa"/>
            <w:vAlign w:val="bottom"/>
          </w:tcPr>
          <w:p>
            <w:pPr>
              <w:spacing w:after="0"/>
              <w:rPr>
                <w:sz w:val="18"/>
                <w:szCs w:val="18"/>
                <w:color w:val="auto"/>
              </w:rPr>
            </w:pPr>
          </w:p>
        </w:tc>
      </w:t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Common Stock in connection with the Business Combination(6)</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 offset for contingent consideration liability for Earnout Shares(7)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(41,622)</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Record offset for contingent consideration liability for Deferred Founder Shares(8)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(14,646)</w:t>
            </w:r>
          </w:p>
        </w:tc>
      </w:tr>
      <w:tr>
        <w:trPr>
          <w:trHeight w:val="198"/>
        </w:trPr>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Reduction in APIC related to transaction costs directly attributable to the offering</w:t>
            </w:r>
          </w:p>
        </w:tc>
        <w:tc>
          <w:tcPr>
            <w:tcW w:w="840" w:type="dxa"/>
            <w:vAlign w:val="bottom"/>
            <w:shd w:val="clear" w:color="auto" w:fill="CCEEFF"/>
          </w:tcPr>
          <w:p>
            <w:pPr>
              <w:spacing w:after="0"/>
              <w:rPr>
                <w:sz w:val="17"/>
                <w:szCs w:val="17"/>
                <w:color w:val="auto"/>
              </w:rPr>
            </w:pPr>
          </w:p>
        </w:tc>
      </w:tr>
      <w:tr>
        <w:trPr>
          <w:trHeight w:val="234"/>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incurred by Teamshares(9)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Reduction in APIC related to costs incurred by Live Oak after March 31, 2026(10)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Live Oak’s historical accumulated deficit(11)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(30,986)</w:t>
            </w:r>
          </w:p>
        </w:tc>
      </w:tr>
      <w:tr>
        <w:trPr>
          <w:trHeight w:val="198"/>
        </w:trPr>
        <w:tc>
          <w:tcPr>
            <w:tcW w:w="6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APIC related to the elimination of gains and losses on Live Oak’s PIPE</w:t>
            </w:r>
          </w:p>
        </w:tc>
        <w:tc>
          <w:tcPr>
            <w:tcW w:w="840" w:type="dxa"/>
            <w:vAlign w:val="bottom"/>
          </w:tcPr>
          <w:p>
            <w:pPr>
              <w:spacing w:after="0"/>
              <w:rPr>
                <w:sz w:val="17"/>
                <w:szCs w:val="17"/>
                <w:color w:val="auto"/>
              </w:rPr>
            </w:pPr>
          </w:p>
        </w:tc>
      </w:t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Agreements Liability(12)</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16,539</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the Prepayment Amount related to the Forward Purchase Agreement (13)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(42,240)</w:t>
            </w:r>
          </w:p>
        </w:tc>
      </w:tr>
      <w:tr>
        <w:trPr>
          <w:trHeight w:val="198"/>
        </w:trPr>
        <w:tc>
          <w:tcPr>
            <w:tcW w:w="6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Reduction in APIC related to the fair value of the Forward Purchase Agreement Liability</w:t>
            </w:r>
          </w:p>
        </w:tc>
        <w:tc>
          <w:tcPr>
            <w:tcW w:w="840" w:type="dxa"/>
            <w:vAlign w:val="bottom"/>
          </w:tcPr>
          <w:p>
            <w:pPr>
              <w:spacing w:after="0"/>
              <w:rPr>
                <w:sz w:val="17"/>
                <w:szCs w:val="17"/>
                <w:color w:val="auto"/>
              </w:rPr>
            </w:pPr>
          </w:p>
        </w:tc>
      </w:tr>
      <w:tr>
        <w:trPr>
          <w:trHeight w:val="234"/>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APIC related to the reduction of Santander Underwriting Fees (15)</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6,602</w:t>
            </w:r>
          </w:p>
        </w:tc>
      </w:t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58,696</w:t>
            </w:r>
          </w:p>
        </w:tc>
      </w:tr>
    </w:tbl>
    <w:p>
      <w:pPr>
        <w:sectPr>
          <w:pgSz w:w="11900" w:h="16838" w:orient="portrait"/>
          <w:cols w:equalWidth="0" w:num="1">
            <w:col w:w="11024"/>
          </w:cols>
          <w:pgMar w:left="436" w:top="270" w:right="439" w:bottom="1440" w:gutter="0" w:footer="0" w:header="0"/>
        </w:sectPr>
      </w:pPr>
    </w:p>
    <w:bookmarkStart w:id="189" w:name="page190"/>
    <w:bookmarkEnd w:id="189"/>
    <w:p>
      <w:pPr>
        <w:ind w:left="424" w:right="20" w:hanging="424"/>
        <w:spacing w:after="0" w:line="257"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Reclassification of Live Oak Public Shares subject to redemption, after giving effect to the impact of redemptions, to permanent equity. This results in the issuance of 4,561,341 shares of Combined Company Common Stock (par value of $0.0001 per share). See adjustment (D) for the corresponding offset to Live Oak Public Shares subject to redemption and adjustment (F)(5) for the offset to Combined Company Common Stock.</w:t>
      </w:r>
    </w:p>
    <w:p>
      <w:pPr>
        <w:spacing w:after="0" w:line="1" w:lineRule="exact"/>
        <w:rPr>
          <w:rFonts w:ascii="Times New Roman" w:cs="Times New Roman" w:eastAsia="Times New Roman" w:hAnsi="Times New Roman"/>
          <w:sz w:val="18"/>
          <w:szCs w:val="18"/>
          <w:color w:val="auto"/>
        </w:rPr>
      </w:pPr>
    </w:p>
    <w:p>
      <w:pPr>
        <w:ind w:left="424" w:right="260" w:hanging="424"/>
        <w:spacing w:after="0" w:line="250"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proceeds of approximately $126.5 million from the issuance and sale of 13,750,000 shares of Combined Company Common Stock (par value of $0.0001 per share) at $9.20 per share upon consummation of the Initial PIPE Investment transaction pursuant to the Initial PIPE Subscription Agreements. See adjustment (A)(2) for the corresponding offset in cash and adjustment (F)(1) for the corresponding offset to Combined Company Common Stock.</w:t>
      </w:r>
    </w:p>
    <w:p>
      <w:pPr>
        <w:spacing w:after="0" w:line="1"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of shares of Teamshares preferred stock and common stock into 49,214,976 shares of Combined Company Common Stock (par value of $0.0001 per share). See adjustment (P) for the offset to Teamshares’ Common Stock and Preferred Stock Par Value and adjustment (F)(2) for the offset to Combined Company Common Stock.</w:t>
      </w:r>
    </w:p>
    <w:p>
      <w:pPr>
        <w:spacing w:after="0" w:line="91" w:lineRule="exact"/>
        <w:rPr>
          <w:rFonts w:ascii="Times New Roman" w:cs="Times New Roman" w:eastAsia="Times New Roman" w:hAnsi="Times New Roman"/>
          <w:sz w:val="18"/>
          <w:szCs w:val="18"/>
          <w:color w:val="auto"/>
        </w:rPr>
      </w:pPr>
    </w:p>
    <w:p>
      <w:pPr>
        <w:ind w:left="424" w:right="280" w:hanging="424"/>
        <w:spacing w:after="0" w:line="266"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220,942 shares of Combined Company Common Stock (par value of $0.0001 per share) in relation to exercised Teamshares Warrants. See adjustment (N) for the corresponding offset to warrant liability and adjustment (F)(3) for the corresponding offset to Combined Company Common Stock.</w:t>
      </w:r>
    </w:p>
    <w:p>
      <w:pPr>
        <w:spacing w:after="0" w:line="81"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751,343 shares of Combined Company Common Stock (par value of $0.0001 per share) in relation to Teamshares SAFEs. $4.1 million of the SAFEs were received in 2025 and during the three months ended March 31, 2026 and $2.2 million were received subsequent to March 31, 2026. See adjustment (O) for the corresponding offset related to the SAFE liability as of March 31, 2026, adjustment (A)(6) for the SAFEs received subsequent to March 31, 2026, and adjustment (F)(4) for the corresponding offset to Combined Company Common Stock.</w:t>
      </w:r>
    </w:p>
    <w:p>
      <w:pPr>
        <w:spacing w:after="0" w:line="85" w:lineRule="exact"/>
        <w:rPr>
          <w:rFonts w:ascii="Times New Roman" w:cs="Times New Roman" w:eastAsia="Times New Roman" w:hAnsi="Times New Roman"/>
          <w:sz w:val="18"/>
          <w:szCs w:val="18"/>
          <w:color w:val="auto"/>
        </w:rPr>
      </w:pPr>
    </w:p>
    <w:p>
      <w:pPr>
        <w:ind w:left="424" w:right="300" w:hanging="424"/>
        <w:spacing w:after="0" w:line="261"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Live Oak Class B Ordinary Shares (which, upon Domestication, became shares of Live Oak Class B Common Stock, corresponding, upon the Closing, to an equivalent number of shares of Combined Company Common Stock) to 3,450,000 shares of Combined Company Common Stock (par value of $0.0001 per share) in connection with the Business Combination. See adjustment (E) for offset to Live Oak Class B Ordinary Shares and adjustment (F)(6) for the offset to Combined Company Common Stock.</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offset for contingent consideration liability for Earnout Shares. See adjustment (I) for the corresponding offset.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offset for contingent consideration liability for Deferred Founder Shares. See adjustment (K) for the corresponding offset.</w:t>
      </w:r>
    </w:p>
    <w:p>
      <w:pPr>
        <w:spacing w:after="0" w:line="130"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$1.1 million of directly attributable transaction costs that are included within Other Current Assets of Teamshares and $2.3 million of specific incremental costs directly attributable to the transaction that were incurred after March 31, 2026 through the Closing Date. In accordance with SAB Topic 5.A., management concluded that transaction costs that are directly attributable to the Merger may be capitalized up to the gross proceeds of the offering, and that Live Oak’s Cash and cash equivalents represents the expected gross proceeds of the Merger. Therefore, directly attributable transaction costs in excess of Live Oak’s Cash and cash equivalents are expensed as incurred. See adjustment (M) for the corresponding offset to Other Current Assets and see adjustment (A)(4)(iii) for the corresponding offset to the $2.3 million of expected transaction costs subsequent to March 31, 2026.</w:t>
      </w:r>
    </w:p>
    <w:p>
      <w:pPr>
        <w:spacing w:after="0" w:line="9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$6.7 million of transaction costs were incurred by Live Oak after March 31, 2026, through the Closing Date. See adjustment (A)</w:t>
      </w:r>
    </w:p>
    <w:p>
      <w:pPr>
        <w:spacing w:after="0" w:line="27" w:lineRule="exact"/>
        <w:rPr>
          <w:rFonts w:ascii="Times New Roman" w:cs="Times New Roman" w:eastAsia="Times New Roman" w:hAnsi="Times New Roman"/>
          <w:sz w:val="18"/>
          <w:szCs w:val="18"/>
          <w:color w:val="auto"/>
        </w:rPr>
      </w:pPr>
    </w:p>
    <w:p>
      <w:pPr>
        <w:ind w:left="424"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(3)(ii) for the corresponding offset. These transaction costs are included in this balance, as they would be charged to accumulated deficit of Live Oak and concurrently eliminated to additional paid-in capital.</w:t>
      </w:r>
    </w:p>
    <w:p>
      <w:pPr>
        <w:spacing w:after="0" w:line="8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Live Oak’s historical accumulated deficit. See adjustment (H)(1) for the corresponding offset.</w:t>
      </w:r>
    </w:p>
    <w:p>
      <w:pPr>
        <w:spacing w:after="0" w:line="130"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gains and losses on Live Oak’s PIPE Subscription Agreements liability that were recorded in Live Oak’s historical accumulated deficit. See adjustment (Q) for the corresponding offset.</w:t>
      </w:r>
    </w:p>
    <w:p>
      <w:pPr>
        <w:spacing w:after="0" w:line="67" w:lineRule="exact"/>
        <w:rPr>
          <w:rFonts w:ascii="Times New Roman" w:cs="Times New Roman" w:eastAsia="Times New Roman" w:hAnsi="Times New Roman"/>
          <w:sz w:val="18"/>
          <w:szCs w:val="18"/>
          <w:color w:val="auto"/>
        </w:rPr>
      </w:pPr>
    </w:p>
    <w:p>
      <w:pPr>
        <w:jc w:val="both"/>
        <w:ind w:left="424" w:right="300" w:hanging="424"/>
        <w:spacing w:after="0" w:line="266"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the Prepayment Amount related to the Forward Purchase Agreement. The Company believes that the substance of this payment is akin to a subscription receivable for shares in the Combined Company. As such, this payment has been presented as a reduction of Additional Paid-In Capital. See adjustment (A)(7) for the corresponding offset.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the Forward Purchase Agreement Liability. See adjustment (R) for the corresponding offset.</w:t>
      </w:r>
    </w:p>
    <w:p>
      <w:pPr>
        <w:spacing w:after="0" w:line="130"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the Deferred Underwriting Fee that was reduced after giving effect to the impact of redemptions. See adjustment (A)(3)(i) for corresponding offset to cash, and adjustment (C) for the corresponding offset to Deferred Underwriting Fee.</w:t>
      </w:r>
    </w:p>
    <w:p>
      <w:pPr>
        <w:sectPr>
          <w:pgSz w:w="11900" w:h="16838" w:orient="portrait"/>
          <w:cols w:equalWidth="0" w:num="1">
            <w:col w:w="11004"/>
          </w:cols>
          <w:pgMar w:left="436" w:top="270" w:right="459" w:bottom="1440" w:gutter="0" w:footer="0" w:header="0"/>
        </w:sectPr>
      </w:pPr>
    </w:p>
    <w:bookmarkStart w:id="190" w:name="page191"/>
    <w:bookmarkEnd w:id="190"/>
    <w:tbl>
      <w:tblPr>
        <w:tblLayout w:type="fixed"/>
        <w:tblInd w:w="4"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  Represents pro forma adjustments to the accumulated deficit balance to reflect the following:</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60" w:type="dxa"/>
            <w:vAlign w:val="bottom"/>
            <w:vMerge w:val="restart"/>
          </w:tcPr>
          <w:p>
            <w:pPr>
              <w:spacing w:after="0"/>
              <w:rPr>
                <w:sz w:val="10"/>
                <w:szCs w:val="10"/>
                <w:color w:val="auto"/>
              </w:rPr>
            </w:pPr>
          </w:p>
        </w:tc>
        <w:tc>
          <w:tcPr>
            <w:tcW w:w="6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Live Oak’s historical accumulated deficit(1)</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30,986</w:t>
            </w:r>
          </w:p>
        </w:tc>
        <w:tc>
          <w:tcPr>
            <w:tcW w:w="0" w:type="dxa"/>
            <w:vAlign w:val="bottom"/>
          </w:tcPr>
          <w:p>
            <w:pPr>
              <w:spacing w:after="0"/>
              <w:rPr>
                <w:sz w:val="1"/>
                <w:szCs w:val="1"/>
                <w:color w:val="auto"/>
              </w:rPr>
            </w:pPr>
          </w:p>
        </w:tc>
      </w:tr>
      <w:tr>
        <w:trPr>
          <w:trHeight w:val="198"/>
        </w:trPr>
        <w:tc>
          <w:tcPr>
            <w:tcW w:w="1760" w:type="dxa"/>
            <w:vAlign w:val="bottom"/>
          </w:tcPr>
          <w:p>
            <w:pPr>
              <w:spacing w:after="0"/>
              <w:rPr>
                <w:sz w:val="17"/>
                <w:szCs w:val="17"/>
                <w:color w:val="auto"/>
              </w:rPr>
            </w:pPr>
          </w:p>
        </w:tc>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accumulated deficit to reflect the gain on fair value of warrants due to the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760" w:type="dxa"/>
            <w:vAlign w:val="bottom"/>
          </w:tcPr>
          <w:p>
            <w:pPr>
              <w:spacing w:after="0"/>
              <w:rPr>
                <w:sz w:val="21"/>
                <w:szCs w:val="21"/>
                <w:color w:val="auto"/>
              </w:rPr>
            </w:pPr>
          </w:p>
        </w:tc>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extinguishment of certain Teamshares warrants(2)</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198"/>
        </w:trPr>
        <w:tc>
          <w:tcPr>
            <w:tcW w:w="1760" w:type="dxa"/>
            <w:vAlign w:val="bottom"/>
          </w:tcPr>
          <w:p>
            <w:pPr>
              <w:spacing w:after="0"/>
              <w:rPr>
                <w:sz w:val="17"/>
                <w:szCs w:val="17"/>
                <w:color w:val="auto"/>
              </w:rPr>
            </w:pPr>
          </w:p>
        </w:tc>
        <w:tc>
          <w:tcPr>
            <w:tcW w:w="6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accumulated deficit for acquisition-related transaction expenses incurred by</w:t>
            </w: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760" w:type="dxa"/>
            <w:vAlign w:val="bottom"/>
          </w:tcPr>
          <w:p>
            <w:pPr>
              <w:spacing w:after="0"/>
              <w:rPr>
                <w:sz w:val="21"/>
                <w:szCs w:val="21"/>
                <w:color w:val="auto"/>
              </w:rPr>
            </w:pP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Teamshares that are not direct incremental costs attributable to the offering(3)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30,858</w:t>
            </w:r>
          </w:p>
        </w:tc>
        <w:tc>
          <w:tcPr>
            <w:tcW w:w="0" w:type="dxa"/>
            <w:vAlign w:val="bottom"/>
          </w:tcPr>
          <w:p>
            <w:pPr>
              <w:spacing w:after="0"/>
              <w:rPr>
                <w:sz w:val="1"/>
                <w:szCs w:val="1"/>
                <w:color w:val="auto"/>
              </w:rPr>
            </w:pPr>
          </w:p>
        </w:tc>
      </w:tr>
    </w:tbl>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40" w:hanging="424"/>
        <w:spacing w:after="0" w:line="282" w:lineRule="auto"/>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Live Oak’s accumulated deficit, in connection with the reverse recapitalization including the adjustment for accrued transaction expenses. See adjustment (G)(11) for the corresponding offset.</w:t>
      </w:r>
    </w:p>
    <w:p>
      <w:pPr>
        <w:spacing w:after="0" w:line="67" w:lineRule="exact"/>
        <w:rPr>
          <w:rFonts w:ascii="Times New Roman" w:cs="Times New Roman" w:eastAsia="Times New Roman" w:hAnsi="Times New Roman"/>
          <w:sz w:val="18"/>
          <w:szCs w:val="18"/>
          <w:color w:val="auto"/>
        </w:rPr>
      </w:pPr>
    </w:p>
    <w:p>
      <w:pPr>
        <w:ind w:left="424" w:right="580" w:hanging="424"/>
        <w:spacing w:after="0" w:line="282" w:lineRule="auto"/>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changes in accumulated deficit to reflect the gain on fair value of warrants due to the extinguishment of certain Teamshares warrants. See adjustment (N) for the corresponding offset.</w:t>
      </w:r>
    </w:p>
    <w:p>
      <w:pPr>
        <w:spacing w:after="0" w:line="67"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acquisition-related transaction expenses incurred by Teamshares that are not direct incremental costs attributable to the offering. See adjustment (A)(4)(iv) for the corresponding offset.</w:t>
      </w:r>
    </w:p>
    <w:p>
      <w:pPr>
        <w:spacing w:after="0" w:line="67" w:lineRule="exact"/>
        <w:rPr>
          <w:sz w:val="20"/>
          <w:szCs w:val="20"/>
          <w:color w:val="auto"/>
        </w:rPr>
      </w:pPr>
    </w:p>
    <w:p>
      <w:pPr>
        <w:ind w:left="424" w:right="900" w:hanging="424"/>
        <w:spacing w:after="0" w:line="282" w:lineRule="auto"/>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contingent consideration liability for the earnout shares for the eligible earnout participants. See adjustment (G)(7) for the corresponding offset.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the following debt obligations concurrent with the merger:</w:t>
      </w:r>
    </w:p>
    <w:p>
      <w:pPr>
        <w:spacing w:after="0" w:line="26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Reflects the repayment by Teamshares of amounts outstanding under the HBC Credit</w:t>
            </w:r>
          </w:p>
        </w:tc>
        <w:tc>
          <w:tcPr>
            <w:tcW w:w="920" w:type="dxa"/>
            <w:vAlign w:val="bottom"/>
            <w:shd w:val="clear" w:color="auto" w:fill="CCEEFF"/>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Facility concurrent with the Mergers.(1)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w:t>
            </w:r>
          </w:p>
        </w:tc>
      </w:tr>
      <w:tr>
        <w:trPr>
          <w:trHeight w:val="198"/>
        </w:trPr>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Reflects the payment by Teamshares of HBC Fees in cash concurrent with the Mergers.</w:t>
            </w:r>
          </w:p>
        </w:tc>
        <w:tc>
          <w:tcPr>
            <w:tcW w:w="920" w:type="dxa"/>
            <w:vAlign w:val="bottom"/>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80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Reflects the payment of deferred consideration for an operating subsidiary that was</w:t>
            </w:r>
          </w:p>
        </w:tc>
        <w:tc>
          <w:tcPr>
            <w:tcW w:w="920" w:type="dxa"/>
            <w:vAlign w:val="bottom"/>
            <w:shd w:val="clear" w:color="auto" w:fill="CCEEFF"/>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during 2025. This payment is required within 60 days of the Closing.(3)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38"/>
        </w:trPr>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(37,060)</w:t>
            </w:r>
          </w:p>
        </w:tc>
      </w:tr>
      <w:tr>
        <w:trPr>
          <w:trHeight w:val="315"/>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(1)</w:t>
            </w: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adjustment (A)(5) for the corresponding offset.</w:t>
            </w:r>
          </w:p>
        </w:tc>
        <w:tc>
          <w:tcPr>
            <w:tcW w:w="920" w:type="dxa"/>
            <w:vAlign w:val="bottom"/>
          </w:tcPr>
          <w:p>
            <w:pPr>
              <w:spacing w:after="0"/>
              <w:rPr>
                <w:sz w:val="24"/>
                <w:szCs w:val="24"/>
                <w:color w:val="auto"/>
              </w:rPr>
            </w:pPr>
          </w:p>
        </w:tc>
      </w:tr>
      <w:tr>
        <w:trPr>
          <w:trHeight w:val="338"/>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(2)</w:t>
            </w: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adjustment (A)(5) for the corresponding offset.</w:t>
            </w:r>
          </w:p>
        </w:tc>
        <w:tc>
          <w:tcPr>
            <w:tcW w:w="920" w:type="dxa"/>
            <w:vAlign w:val="bottom"/>
          </w:tcPr>
          <w:p>
            <w:pPr>
              <w:spacing w:after="0"/>
              <w:rPr>
                <w:sz w:val="24"/>
                <w:szCs w:val="24"/>
                <w:color w:val="auto"/>
              </w:rPr>
            </w:pPr>
          </w:p>
        </w:tc>
      </w:tr>
      <w:tr>
        <w:trPr>
          <w:trHeight w:val="338"/>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(3)</w:t>
            </w: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adjustment (A)(5) for the corresponding offset.</w:t>
            </w:r>
          </w:p>
        </w:tc>
        <w:tc>
          <w:tcPr>
            <w:tcW w:w="920" w:type="dxa"/>
            <w:vAlign w:val="bottom"/>
          </w:tcPr>
          <w:p>
            <w:pPr>
              <w:spacing w:after="0"/>
              <w:rPr>
                <w:sz w:val="24"/>
                <w:szCs w:val="24"/>
                <w:color w:val="auto"/>
              </w:rPr>
            </w:pPr>
          </w:p>
        </w:tc>
      </w:tr>
    </w:tbl>
    <w:p>
      <w:pPr>
        <w:spacing w:after="0" w:line="103" w:lineRule="exact"/>
        <w:rPr>
          <w:sz w:val="20"/>
          <w:szCs w:val="20"/>
          <w:color w:val="auto"/>
        </w:rPr>
      </w:pPr>
    </w:p>
    <w:p>
      <w:pPr>
        <w:ind w:left="424" w:hanging="424"/>
        <w:spacing w:after="0"/>
        <w:tabs>
          <w:tab w:leader="none" w:pos="4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deferred liability for Deferred Founder Shares. See adjustment (G)(8) for the corresponding offset.</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$4.3 million of accounts payable related to accrued transaction costs incurred by Teamshares prior to March 31, 2026. See adjustment (A)(4)(i) and (A)(4)(ii) for the corresponding offsets.</w:t>
      </w:r>
    </w:p>
    <w:p>
      <w:pPr>
        <w:spacing w:after="0" w:line="67" w:lineRule="exact"/>
        <w:rPr>
          <w:rFonts w:ascii="Times New Roman" w:cs="Times New Roman" w:eastAsia="Times New Roman" w:hAnsi="Times New Roman"/>
          <w:sz w:val="18"/>
          <w:szCs w:val="18"/>
          <w:color w:val="auto"/>
        </w:rPr>
      </w:pPr>
    </w:p>
    <w:p>
      <w:pPr>
        <w:ind w:left="424" w:right="120" w:hanging="424"/>
        <w:spacing w:after="0" w:line="258" w:lineRule="auto"/>
        <w:tabs>
          <w:tab w:leader="none" w:pos="4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$1.1 million of transaction costs that were incurred in 2025 and during the three months ended March 31, 2026 by Teamshares that are directly attributable to the offering. These costs were recorded in Other Current Assets as of March 31, 2026 and were concurrently reclassified to a reduction in additional paid-in capital concurrent with the Closing. These fees include legal and advisory services directly supporting the preparation and filing of the registration statement. These costs were included in Accounts Payable as of March 31, 2026 (see adjustment (A)(4)(i)). See adjustment (G)(9) for the corresponding offset to additional paid-in capital.</w:t>
      </w:r>
    </w:p>
    <w:p>
      <w:pPr>
        <w:spacing w:after="0" w:line="88" w:lineRule="exact"/>
        <w:rPr>
          <w:rFonts w:ascii="Times New Roman" w:cs="Times New Roman" w:eastAsia="Times New Roman" w:hAnsi="Times New Roman"/>
          <w:sz w:val="18"/>
          <w:szCs w:val="18"/>
          <w:color w:val="auto"/>
        </w:rPr>
      </w:pPr>
    </w:p>
    <w:p>
      <w:pPr>
        <w:ind w:left="424" w:right="280" w:hanging="424"/>
        <w:spacing w:after="0" w:line="258" w:lineRule="auto"/>
        <w:tabs>
          <w:tab w:leader="none" w:pos="4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warrant liability related to Teamshares warrants as a result of the transaction. Reflects $2.2 million of outstanding Teamshares warrants that were exercised prior to the First Effective Time and $0.7 million of warrants that were extinguished as they were not exercised by the holders prior to the Closing. For the exercised warrants, see adjustment (F)(3) for the corresponding offset to Combined Company Common Stock and adjustment (G)(4) for the corresponding offset to additional paid-in capital. For the extinguished warrants see adjustment (H)(2) for the corresponding offset.</w:t>
      </w:r>
    </w:p>
    <w:p>
      <w:pPr>
        <w:spacing w:after="0" w:line="88" w:lineRule="exact"/>
        <w:rPr>
          <w:rFonts w:ascii="Times New Roman" w:cs="Times New Roman" w:eastAsia="Times New Roman" w:hAnsi="Times New Roman"/>
          <w:sz w:val="18"/>
          <w:szCs w:val="18"/>
          <w:color w:val="auto"/>
        </w:rPr>
      </w:pPr>
    </w:p>
    <w:p>
      <w:pPr>
        <w:ind w:left="424" w:right="460" w:hanging="424"/>
        <w:spacing w:after="0" w:line="261" w:lineRule="auto"/>
        <w:tabs>
          <w:tab w:leader="none" w:pos="4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$4.1 million of liabilities related to Teamshares SAFEs that Teamshares entered into with unaffiliated investors. Pursuant to the terms of the SAFEs, the instruments automatically converted into shares of the Combined Company immediately upon consummation of the Business Combination. See adjustment (F)(4) for the corresponding offset to Combined Company Common Stock and adjustment (G)(5) for the corresponding offset to additional paid-in capital.</w:t>
      </w:r>
    </w:p>
    <w:p>
      <w:pPr>
        <w:spacing w:after="0" w:line="85" w:lineRule="exact"/>
        <w:rPr>
          <w:rFonts w:ascii="Times New Roman" w:cs="Times New Roman" w:eastAsia="Times New Roman" w:hAnsi="Times New Roman"/>
          <w:sz w:val="18"/>
          <w:szCs w:val="18"/>
          <w:color w:val="auto"/>
        </w:rPr>
      </w:pPr>
    </w:p>
    <w:p>
      <w:pPr>
        <w:ind w:left="424" w:right="420" w:hanging="424"/>
        <w:spacing w:after="0" w:line="266" w:lineRule="auto"/>
        <w:tabs>
          <w:tab w:leader="none" w:pos="4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Teamshares’ Common Stock and Preferred Stock Par Value that were exchanged in the Transaction for Combined Company Shares. See adjustment (F)(2) for the corresponding offset to Combined Company Common Stock and adjustment (G)(3) for the corresponding offset to additional paid-in capital.</w:t>
      </w:r>
    </w:p>
    <w:p>
      <w:pPr>
        <w:sectPr>
          <w:pgSz w:w="11900" w:h="16838" w:orient="portrait"/>
          <w:cols w:equalWidth="0" w:num="1">
            <w:col w:w="10984"/>
          </w:cols>
          <w:pgMar w:left="436" w:top="270" w:right="479" w:bottom="1440" w:gutter="0" w:footer="0" w:header="0"/>
        </w:sectPr>
      </w:pPr>
    </w:p>
    <w:bookmarkStart w:id="191" w:name="page192"/>
    <w:bookmarkEnd w:id="191"/>
    <w:p>
      <w:pPr>
        <w:ind w:left="424" w:right="560" w:hanging="424"/>
        <w:spacing w:after="0" w:line="282" w:lineRule="auto"/>
        <w:tabs>
          <w:tab w:leader="none" w:pos="42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the removal of the Initial PIPE Subscription Agreements liability that is recorded by Live Oak. The Initial PIPE Investment closed concurrently with the consummation of the Business Combination. See adjustment (G)(12) for the corresponding offset.</w:t>
      </w:r>
    </w:p>
    <w:p>
      <w:pPr>
        <w:spacing w:after="0" w:line="67" w:lineRule="exact"/>
        <w:rPr>
          <w:rFonts w:ascii="Times New Roman" w:cs="Times New Roman" w:eastAsia="Times New Roman" w:hAnsi="Times New Roman"/>
          <w:sz w:val="18"/>
          <w:szCs w:val="18"/>
          <w:color w:val="auto"/>
        </w:rPr>
      </w:pPr>
    </w:p>
    <w:p>
      <w:pPr>
        <w:ind w:left="424" w:right="200" w:hanging="424"/>
        <w:spacing w:after="0" w:line="261" w:lineRule="auto"/>
        <w:tabs>
          <w:tab w:leader="none" w:pos="42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derivative liability that represents the estimated fair value of the Company’s settlement obligations under the Forward Purchase Agreement. The fair value of $8.1 million is based on the valuation of $2.02 per share using the Black-Scholes valuation model. See adjustment (G)(14) for the corresponding offset. The FPA Investor purchased 4,000,000 shares prior to the deadline described in the Forward Purchase Agreement. The prepayment amount of $42.2 million is based on the final redemption price of $10.56 per share.</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Statements of Operations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statements of operations for the three months ended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31, 2026 and the year ended December 31, 2025:</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(AA) Represents pro forma adjustments related to selling, general, and administrative expense as follows:</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40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3"/>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4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78"/>
        </w:trPr>
        <w:tc>
          <w:tcPr>
            <w:tcW w:w="49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Additional transaction costs not yet incurred by Teamshares</w:t>
            </w: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that are not directly attributable to the offering, and therefore</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are expensed as incurred</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transaction costs not yet incurred by Live Oak</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198"/>
        </w:trPr>
        <w:tc>
          <w:tcPr>
            <w:tcW w:w="4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related to the earnout shares</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allocated to eligible optionholders</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1,278</w:t>
            </w: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5,112</w:t>
            </w: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1,278</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12,592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4" w:hanging="404"/>
        <w:spacing w:after="0"/>
        <w:tabs>
          <w:tab w:leader="none" w:pos="40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income related to the investment held in the Trust Account.</w:t>
      </w:r>
    </w:p>
    <w:p>
      <w:pPr>
        <w:spacing w:after="0" w:line="117"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remeasurement gains and losses on Teamshares warrant liability.</w:t>
      </w:r>
    </w:p>
    <w:p>
      <w:pPr>
        <w:spacing w:after="0" w:line="11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gains and losses on Live Oak’s PIPE Subscription Agreements liability</w:t>
      </w:r>
    </w:p>
    <w:p>
      <w:pPr>
        <w:spacing w:after="0" w:line="117"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initial fair value of the Forward Purchase Agreement Liability.</w:t>
      </w:r>
    </w:p>
    <w:p>
      <w:pPr>
        <w:spacing w:after="0" w:line="117" w:lineRule="exact"/>
        <w:rPr>
          <w:rFonts w:ascii="Times New Roman" w:cs="Times New Roman" w:eastAsia="Times New Roman" w:hAnsi="Times New Roman"/>
          <w:sz w:val="18"/>
          <w:szCs w:val="18"/>
          <w:color w:val="auto"/>
        </w:rPr>
      </w:pPr>
    </w:p>
    <w:p>
      <w:pPr>
        <w:ind w:left="4" w:right="160" w:hanging="4"/>
        <w:spacing w:after="0" w:line="266" w:lineRule="auto"/>
        <w:tabs>
          <w:tab w:leader="none" w:pos="36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expense related to the HBC Credit Facility. The HBC Credit Facility was required to be repaid in full upon the Closing. Therefore, for purposes of the pro forma presentation, no interest expense related to the HBC Credit Facility is recorded during the three months ended March 31, 2026.</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 presented, the calculation of weighted average shares outstanding for basic and diluted net loss per share assumes that the shares issuable relating to the Business Combination have been outstanding for the entire periods presented. When assuming the redemption scenario described above, this calculation is adjusted to eliminate such shares for the entire periods.</w:t>
      </w:r>
    </w:p>
    <w:p>
      <w:pPr>
        <w:sectPr>
          <w:pgSz w:w="11900" w:h="16838" w:orient="portrait"/>
          <w:cols w:equalWidth="0" w:num="1">
            <w:col w:w="11004"/>
          </w:cols>
          <w:pgMar w:left="436" w:top="270" w:right="459" w:bottom="1440" w:gutter="0" w:footer="0" w:header="0"/>
        </w:sectPr>
      </w:pPr>
    </w:p>
    <w:bookmarkStart w:id="192" w:name="page193"/>
    <w:bookmarkEnd w:id="192"/>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unaudited pro forma condensed combined financial information has been prepared for the three months ended March 31, 2026 and for the year ended December 31, 2025 ($ in thousands except per share data):</w:t>
      </w:r>
    </w:p>
    <w:p>
      <w:pPr>
        <w:spacing w:after="0" w:line="17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28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9"/>
        </w:trPr>
        <w:tc>
          <w:tcPr>
            <w:tcW w:w="5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5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the Combined Company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(99,663)</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Rollover Shares Adjustment (1)</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Attributable to the Common Shareholders</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(18,494)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(99,415)</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71,985,774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71,985,774</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Share—Basic and Diluted (2) (3)</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71,985,774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71,985,774</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 Oak public shareholders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561,341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561,341</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13,750,000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13,750,000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3,450,000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3,450,000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Teamshares Stockholders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49,435,918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49,435,918</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Investors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751,343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751,343</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FPA Investor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4,000,000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37,171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37,171</w:t>
            </w:r>
          </w:p>
        </w:tc>
      </w:tr>
    </w:tbl>
    <w:p>
      <w:pPr>
        <w:spacing w:after="0" w:line="103" w:lineRule="exact"/>
        <w:rPr>
          <w:sz w:val="20"/>
          <w:szCs w:val="20"/>
          <w:color w:val="auto"/>
        </w:rPr>
      </w:pPr>
    </w:p>
    <w:p>
      <w:pPr>
        <w:ind w:left="424" w:hanging="424"/>
        <w:spacing w:after="0" w:line="261" w:lineRule="auto"/>
        <w:tabs>
          <w:tab w:leader="none" w:pos="4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and the year ended December 31, 2025, Teamshares repurchased certain Rollover Shares. The difference between the carrying value and the repurchase value on the repurchase date has been included as an adjustment to Net Loss Attributable to Common Stockholders. See Note 4, “Business Combinations” to the Teamshares Inc. audited annual consolidated financial statements included elsewhere in this Proxy Statement/Prospectus for further discussion of Rollover Shares.</w:t>
      </w:r>
    </w:p>
    <w:p>
      <w:pPr>
        <w:spacing w:after="0" w:line="85"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pro forma net loss per share excludes the impact of outstanding and unexercised warrants and options, as the inclusion of these instruments was anti-dilutive.</w:t>
      </w:r>
    </w:p>
    <w:p>
      <w:pPr>
        <w:spacing w:after="0" w:line="67"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pro forma net loss per share excludes the impact of the Earnout Shares and the Deferred Founder Shares, as the vesting conditions for these shares have not been met. Additionally, the inclusion of these shares would have been anti-dilutive if the vesting conditions had been met.</w:t>
      </w:r>
    </w:p>
    <w:p>
      <w:pPr>
        <w:sectPr>
          <w:pgSz w:w="11900" w:h="16838" w:orient="portrait"/>
          <w:cols w:equalWidth="0" w:num="1">
            <w:col w:w="11004"/>
          </w:cols>
          <w:pgMar w:left="436" w:top="270" w:right="45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173990</wp:posOffset>
            </wp:positionV>
            <wp:extent cx="2494280" cy="316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249428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Teamshares and Live Oak Acquisition Corp. V Complete 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19, 2026</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NEW YORK, June 19, 2026 (GLOBE NEWSWIRE) — Teamshares Inc. (the “Company”), a tech-enabled acquiror of SMEs, today announced the completion of its previously announced business combination (the “Business Combination”) with Live Oak Acquisition Corp. V (NASDAQ: LOKV) (“Live Oak”), following approval by Live Oak shareholders at an extraordinary general meeting on June 16, 2026.</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closing of the Business Combination, Teamshares received $126.5 million additional capital raised in a concurrent, common stock PIPE with certain institutional investors as well as certain members of Teamshares management (the “PIPE”), which has been funded following approval by Live Oak shareholders of the Business Combination.</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Ellenoff Grossman &amp; Schole LLP served as U.S. legal counsel to Live Oak and Latham &amp; Watkins LLP served as legal counsel to Teamshares. Ogier served as special Cayman Islands counsel to Live Oak.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Santander US Capital Markets LLC served as financial advisor and capital markets advisor to Teamshares, as well as the placement agent on the PIPE.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Compass Point, Northland and Roth also served as capital markets advisors.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Teamshares</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 xml:space="preserve">Teamshares is a tech-enabled acquiror of SMEs, intending to be a permanent home when owners retire. Part holdco, part fintech, Teamshares programmatically acquires companies with $0.5 to $5 million of EBITDA from retiring owners, integrates them with the Teamshares platform, and helps employees earn company stock. Founded in 2019, Teamshares operates subsidiaries with consolidated revenue of $490 million across over 40 industries and 30 states. Learn more at </w:t>
      </w:r>
      <w:r>
        <w:rPr>
          <w:rFonts w:ascii="Times New Roman" w:cs="Times New Roman" w:eastAsia="Times New Roman" w:hAnsi="Times New Roman"/>
          <w:sz w:val="18"/>
          <w:szCs w:val="18"/>
          <w:u w:val="single" w:color="auto"/>
          <w:color w:val="auto"/>
        </w:rPr>
        <w:t>https://www.teamshares.com/investors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Live Oak Acquisition Corp. V</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Live Oak Acquisition Corp. V (NASDAQ: LOKV) is the fifth SPAC sponsored by Live Oak Merchant Partners, an experienced team of operators and investors with a track record of successful public-market combinations.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Investors@teamshares.com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Press@teamshares.com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
      <w:numFmt w:val="bullet"/>
      <w:start w:val="1"/>
    </w:lvl>
  </w:abstractNum>
  <w:abstractNum w:abstractNumId="4">
    <w:nsid w:val="73A1821B"/>
    <w:multiLevelType w:val="hybridMultilevel"/>
    <w:lvl w:ilvl="0">
      <w:lvlJc w:val="left"/>
      <w:lvlText w:val="*"/>
      <w:numFmt w:val="bullet"/>
      <w:start w:val="1"/>
    </w:lvl>
  </w:abstractNum>
  <w:abstractNum w:abstractNumId="5">
    <w:nsid w:val="7DE67713"/>
    <w:multiLevelType w:val="hybridMultilevel"/>
    <w:lvl w:ilvl="0">
      <w:lvlJc w:val="left"/>
      <w:lvlText w:val="(%1)"/>
      <w:numFmt w:val="decimal"/>
      <w:start w:val="1"/>
    </w:lvl>
  </w:abstractNum>
  <w:abstractNum w:abstractNumId="6">
    <w:nsid w:val="555C55B5"/>
    <w:multiLevelType w:val="hybridMultilevel"/>
    <w:lvl w:ilvl="0">
      <w:lvlJc w:val="left"/>
      <w:lvlText w:val="(%1)"/>
      <w:numFmt w:val="decimal"/>
      <w:start w:val="4"/>
    </w:lvl>
  </w:abstractNum>
  <w:abstractNum w:abstractNumId="7">
    <w:nsid w:val="3FA62ACA"/>
    <w:multiLevelType w:val="hybridMultilevel"/>
    <w:lvl w:ilvl="0">
      <w:lvlJc w:val="left"/>
      <w:lvlText w:val="(%1)"/>
      <w:numFmt w:val="decimal"/>
      <w:start w:val="9"/>
    </w:lvl>
  </w:abstractNum>
  <w:abstractNum w:abstractNumId="8">
    <w:nsid w:val="14FCE74E"/>
    <w:multiLevelType w:val="hybridMultilevel"/>
    <w:lvl w:ilvl="0">
      <w:lvlJc w:val="left"/>
      <w:lvlText w:val="(%1)"/>
      <w:numFmt w:val="lowerLetter"/>
      <w:start w:val="1"/>
    </w:lvl>
  </w:abstractNum>
  <w:abstractNum w:abstractNumId="9">
    <w:nsid w:val="6A3DD3E8"/>
    <w:multiLevelType w:val="hybridMultilevel"/>
    <w:lvl w:ilvl="0">
      <w:lvlJc w:val="left"/>
      <w:lvlText w:val="(%1)"/>
      <w:numFmt w:val="lowerLetter"/>
      <w:start w:val="2"/>
    </w:lvl>
  </w:abstractNum>
  <w:abstractNum w:abstractNumId="10">
    <w:nsid w:val="71C91298"/>
    <w:multiLevelType w:val="hybridMultilevel"/>
    <w:lvl w:ilvl="0">
      <w:lvlJc w:val="left"/>
      <w:lvlText w:val="(%1)"/>
      <w:numFmt w:val="lowerLetter"/>
      <w:start w:val="1"/>
    </w:lvl>
  </w:abstractNum>
  <w:abstractNum w:abstractNumId="11">
    <w:nsid w:val="9DAF632"/>
    <w:multiLevelType w:val="hybridMultilevel"/>
    <w:lvl w:ilvl="0">
      <w:lvlJc w:val="left"/>
      <w:lvlText w:val=" "/>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1."/>
      <w:numFmt w:val="decimal"/>
      <w:start w:val="1"/>
    </w:lvl>
  </w:abstractNum>
  <w:abstractNum w:abstractNumId="15">
    <w:nsid w:val="1D545C4D"/>
    <w:multiLevelType w:val="hybridMultilevel"/>
    <w:lvl w:ilvl="0">
      <w:lvlJc w:val="left"/>
      <w:lvlText w:val="%1"/>
      <w:numFmt w:val="upperLetter"/>
      <w:start w:val="1"/>
    </w:lvl>
    <w:lvl w:ilvl="1">
      <w:lvlJc w:val="left"/>
      <w:lvlText w:val="%2."/>
      <w:numFmt w:val="decimal"/>
      <w:start w:val="3"/>
    </w:lvl>
  </w:abstractNum>
  <w:abstractNum w:abstractNumId="16">
    <w:nsid w:val="59ADEA3D"/>
    <w:multiLevelType w:val="hybridMultilevel"/>
    <w:lvl w:ilvl="0">
      <w:lvlJc w:val="left"/>
      <w:lvlText w:val="%1."/>
      <w:numFmt w:val="upperLetter"/>
      <w:start w:val="2"/>
    </w:lvl>
    <w:lvl w:ilvl="1">
      <w:lvlJc w:val="left"/>
      <w:lvlText w:val="%2"/>
      <w:numFmt w:val="decimal"/>
      <w:start w:val="1"/>
    </w:lvl>
  </w:abstractNum>
  <w:abstractNum w:abstractNumId="17">
    <w:nsid w:val="288F1A34"/>
    <w:multiLevelType w:val="hybridMultilevel"/>
    <w:lvl w:ilvl="0">
      <w:lvlJc w:val="left"/>
      <w:lvlText w:val="%1"/>
      <w:numFmt w:val="lowerLetter"/>
      <w:start w:val="1"/>
    </w:lvl>
    <w:lvl w:ilvl="1">
      <w:lvlJc w:val="left"/>
      <w:lvlText w:val="(%2)"/>
      <w:numFmt w:val="lowerLetter"/>
      <w:start w:val="1"/>
    </w:lvl>
  </w:abstractNum>
  <w:abstractNum w:abstractNumId="18">
    <w:nsid w:val="2A155DBC"/>
    <w:multiLevelType w:val="hybridMultilevel"/>
    <w:lvl w:ilvl="0">
      <w:lvlJc w:val="left"/>
      <w:lvlText w:val="(%1)"/>
      <w:numFmt w:val="lowerLetter"/>
      <w:start w:val="35"/>
    </w:lvl>
    <w:lvl w:ilvl="1">
      <w:lvlJc w:val="left"/>
      <w:lvlText w:val="(%2)"/>
      <w:numFmt w:val="lowerLetter"/>
      <w:start w:val="2"/>
    </w:lvl>
  </w:abstractNum>
  <w:abstractNum w:abstractNumId="19">
    <w:nsid w:val="1D9F6E5F"/>
    <w:multiLevelType w:val="hybridMultilevel"/>
    <w:lvl w:ilvl="0">
      <w:lvlJc w:val="left"/>
      <w:lvlText w:val="(%1)"/>
      <w:numFmt w:val="lowerLetter"/>
      <w:start w:val="9"/>
    </w:lvl>
    <w:lvl w:ilvl="1">
      <w:lvlJc w:val="left"/>
      <w:lvlText w:val="%2"/>
      <w:numFmt w:val="lowerLetter"/>
      <w:start w:val="1"/>
    </w:lvl>
  </w:abstractNum>
  <w:abstractNum w:abstractNumId="20">
    <w:nsid w:val="97E1B4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5)"/>
      <w:numFmt w:val="lowerLetter"/>
      <w:start w:val="24"/>
    </w:lvl>
  </w:abstractNum>
  <w:abstractNum w:abstractNumId="21">
    <w:nsid w:val="51088277"/>
    <w:multiLevelType w:val="hybridMultilevel"/>
    <w:lvl w:ilvl="0">
      <w:lvlJc w:val="left"/>
      <w:lvlText w:val="(%1)"/>
      <w:numFmt w:val="lowerLetter"/>
      <w:start w:val="26"/>
    </w:lvl>
  </w:abstractNum>
  <w:abstractNum w:abstractNumId="22">
    <w:nsid w:val="1CA0C5FA"/>
    <w:multiLevelType w:val="hybridMultilevel"/>
    <w:lvl w:ilvl="0">
      <w:lvlJc w:val="left"/>
      <w:lvlText w:val="(%1)"/>
      <w:numFmt w:val="upperLetter"/>
      <w:start w:val="2"/>
    </w:lvl>
  </w:abstractNum>
  <w:abstractNum w:abstractNumId="23">
    <w:nsid w:val="53584BCB"/>
    <w:multiLevelType w:val="hybridMultilevel"/>
    <w:lvl w:ilvl="0">
      <w:lvlJc w:val="left"/>
      <w:lvlText w:val="(%1)"/>
      <w:numFmt w:val="upperLetter"/>
      <w:start w:val="6"/>
    </w:lvl>
  </w:abstractNum>
  <w:abstractNum w:abstractNumId="24">
    <w:nsid w:val="415E286C"/>
    <w:multiLevelType w:val="hybridMultilevel"/>
    <w:lvl w:ilvl="0">
      <w:lvlJc w:val="left"/>
      <w:lvlText w:val="(%1)"/>
      <w:numFmt w:val="lowerRoman"/>
      <w:start w:val="3"/>
    </w:lvl>
  </w:abstractNum>
  <w:abstractNum w:abstractNumId="25">
    <w:nsid w:val="7C58FD05"/>
    <w:multiLevelType w:val="hybridMultilevel"/>
    <w:lvl w:ilvl="0">
      <w:lvlJc w:val="left"/>
      <w:lvlText w:val="(%1)"/>
      <w:numFmt w:val="lowerLetter"/>
      <w:start w:val="4"/>
    </w:lvl>
  </w:abstractNum>
  <w:abstractNum w:abstractNumId="26">
    <w:nsid w:val="23D86AAC"/>
    <w:multiLevelType w:val="hybridMultilevel"/>
    <w:lvl w:ilvl="0">
      <w:lvlJc w:val="left"/>
      <w:lvlText w:val="(%1)"/>
      <w:numFmt w:val="lowerLetter"/>
      <w:start w:val="1"/>
    </w:lvl>
  </w:abstractNum>
  <w:abstractNum w:abstractNumId="27">
    <w:nsid w:val="45E6D486"/>
    <w:multiLevelType w:val="hybridMultilevel"/>
    <w:lvl w:ilvl="0">
      <w:lvlJc w:val="left"/>
      <w:lvlText w:val="(%1)"/>
      <w:numFmt w:val="lowerRoman"/>
      <w:start w:val="2"/>
    </w:lvl>
  </w:abstractNum>
  <w:abstractNum w:abstractNumId="28">
    <w:nsid w:val="5C10FE21"/>
    <w:multiLevelType w:val="hybridMultilevel"/>
    <w:lvl w:ilvl="0">
      <w:lvlJc w:val="left"/>
      <w:lvlText w:val="(%1)"/>
      <w:numFmt w:val="lowerLetter"/>
      <w:start w:val="3"/>
    </w:lvl>
    <w:lvl w:ilvl="1">
      <w:lvlJc w:val="left"/>
      <w:lvlText w:val="(%2)"/>
      <w:numFmt w:val="lowerRoman"/>
      <w:start w:val="1"/>
    </w:lvl>
  </w:abstractNum>
  <w:abstractNum w:abstractNumId="29">
    <w:nsid w:val="E7FFA2B"/>
    <w:multiLevelType w:val="hybridMultilevel"/>
    <w:lvl w:ilvl="0">
      <w:lvlJc w:val="left"/>
      <w:lvlText w:val="(%1)"/>
      <w:numFmt w:val="lowerLetter"/>
      <w:start w:val="4"/>
    </w:lvl>
  </w:abstractNum>
  <w:abstractNum w:abstractNumId="30">
    <w:nsid w:val="3C5991AA"/>
    <w:multiLevelType w:val="hybridMultilevel"/>
    <w:lvl w:ilvl="0">
      <w:lvlJc w:val="left"/>
      <w:lvlText w:val="%1"/>
      <w:numFmt w:val="decimal"/>
      <w:start w:val="1"/>
    </w:lvl>
    <w:lvl w:ilvl="1">
      <w:lvlJc w:val="left"/>
      <w:lvlText w:val="(%2)"/>
      <w:numFmt w:val="lowerLetter"/>
      <w:start w:val="5"/>
    </w:lvl>
  </w:abstractNum>
  <w:abstractNum w:abstractNumId="31">
    <w:nsid w:val="4BD8591A"/>
    <w:multiLevelType w:val="hybridMultilevel"/>
    <w:lvl w:ilvl="0">
      <w:lvlJc w:val="left"/>
      <w:lvlText w:val="(%1)"/>
      <w:numFmt w:val="decimal"/>
      <w:start w:val="10"/>
    </w:lvl>
    <w:lvl w:ilvl="1">
      <w:lvlJc w:val="left"/>
      <w:lvlText w:val="(%2)"/>
      <w:numFmt w:val="lowerLetter"/>
      <w:start w:val="6"/>
    </w:lvl>
  </w:abstractNum>
  <w:abstractNum w:abstractNumId="32">
    <w:nsid w:val="78DF6A55"/>
    <w:multiLevelType w:val="hybridMultilevel"/>
    <w:lvl w:ilvl="0">
      <w:lvlJc w:val="left"/>
      <w:lvlText w:val="(%1)"/>
      <w:numFmt w:val="lowerLetter"/>
      <w:start w:val="1"/>
    </w:lvl>
  </w:abstractNum>
  <w:abstractNum w:abstractNumId="33">
    <w:nsid w:val="39B7AAA2"/>
    <w:multiLevelType w:val="hybridMultilevel"/>
    <w:lvl w:ilvl="0">
      <w:lvlJc w:val="left"/>
      <w:lvlText w:val="(%1)"/>
      <w:numFmt w:val="lowerRoman"/>
      <w:start w:val="1"/>
    </w:lvl>
  </w:abstractNum>
  <w:abstractNum w:abstractNumId="34">
    <w:nsid w:val="2B0D8DBE"/>
    <w:multiLevelType w:val="hybridMultilevel"/>
    <w:lvl w:ilvl="0">
      <w:lvlJc w:val="left"/>
      <w:lvlText w:val="(%1)"/>
      <w:numFmt w:val="lowerRoman"/>
      <w:start w:val="1"/>
    </w:lvl>
  </w:abstractNum>
  <w:abstractNum w:abstractNumId="35">
    <w:nsid w:val="6C80EC70"/>
    <w:multiLevelType w:val="hybridMultilevel"/>
    <w:lvl w:ilvl="0">
      <w:lvlJc w:val="left"/>
      <w:lvlText w:val="(%1)"/>
      <w:numFmt w:val="lowerRoman"/>
      <w:start w:val="1"/>
    </w:lvl>
  </w:abstractNum>
  <w:abstractNum w:abstractNumId="36">
    <w:nsid w:val="379E21B5"/>
    <w:multiLevelType w:val="hybridMultilevel"/>
    <w:lvl w:ilvl="0">
      <w:lvlJc w:val="left"/>
      <w:lvlText w:val="(%1)"/>
      <w:numFmt w:val="lowerRoman"/>
      <w:start w:val="1"/>
    </w:lvl>
  </w:abstractNum>
  <w:abstractNum w:abstractNumId="37">
    <w:nsid w:val="69E373"/>
    <w:multiLevelType w:val="hybridMultilevel"/>
    <w:lvl w:ilvl="0">
      <w:lvlJc w:val="left"/>
      <w:lvlText w:val="(%1)"/>
      <w:numFmt w:val="lowerRoman"/>
      <w:start w:val="1"/>
    </w:lvl>
  </w:abstractNum>
  <w:abstractNum w:abstractNumId="38">
    <w:nsid w:val="2C27173B"/>
    <w:multiLevelType w:val="hybridMultilevel"/>
    <w:lvl w:ilvl="0">
      <w:lvlJc w:val="left"/>
      <w:lvlText w:val="(%1)"/>
      <w:numFmt w:val="lowerRoman"/>
      <w:start w:val="2"/>
    </w:lvl>
  </w:abstractNum>
  <w:abstractNum w:abstractNumId="39">
    <w:nsid w:val="4C9B0904"/>
    <w:multiLevelType w:val="hybridMultilevel"/>
    <w:lvl w:ilvl="0">
      <w:lvlJc w:val="left"/>
      <w:lvlText w:val="(%1)"/>
      <w:numFmt w:val="lowerRoman"/>
      <w:start w:val="1"/>
    </w:lvl>
  </w:abstractNum>
  <w:abstractNum w:abstractNumId="40">
    <w:nsid w:val="6AA7B75C"/>
    <w:multiLevelType w:val="hybridMultilevel"/>
    <w:lvl w:ilvl="0">
      <w:lvlJc w:val="left"/>
      <w:lvlText w:val="%1"/>
      <w:numFmt w:val="upperLetter"/>
      <w:start w:val="1"/>
    </w:lvl>
    <w:lvl w:ilvl="1">
      <w:lvlJc w:val="left"/>
      <w:lvlText w:val="(%2)"/>
      <w:numFmt w:val="lowerRoman"/>
      <w:start w:val="1"/>
    </w:lvl>
  </w:abstractNum>
  <w:abstractNum w:abstractNumId="41">
    <w:nsid w:val="1DF029D3"/>
    <w:multiLevelType w:val="hybridMultilevel"/>
    <w:lvl w:ilvl="0">
      <w:lvlJc w:val="left"/>
      <w:lvlText w:val="(%1)"/>
      <w:numFmt w:val="upperLetter"/>
      <w:start w:val="1"/>
    </w:lvl>
    <w:lvl w:ilvl="1">
      <w:lvlJc w:val="left"/>
      <w:lvlText w:val="(%2)"/>
      <w:numFmt w:val="lowerRoman"/>
      <w:start w:val="3"/>
    </w:lvl>
  </w:abstractNum>
  <w:abstractNum w:abstractNumId="42">
    <w:nsid w:val="5675FF36"/>
    <w:multiLevelType w:val="hybridMultilevel"/>
    <w:lvl w:ilvl="0">
      <w:lvlJc w:val="left"/>
      <w:lvlText w:val="(%1)"/>
      <w:numFmt w:val="lowerLetter"/>
      <w:start w:val="3"/>
    </w:lvl>
  </w:abstractNum>
  <w:abstractNum w:abstractNumId="43">
    <w:nsid w:val="3DD1509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4">
    <w:nsid w:val="3DB012B3"/>
    <w:multiLevelType w:val="hybridMultilevel"/>
    <w:lvl w:ilvl="0">
      <w:lvlJc w:val="left"/>
      <w:lvlText w:val="(%1)"/>
      <w:numFmt w:val="decimal"/>
      <w:start w:val="6"/>
    </w:lvl>
    <w:lvl w:ilvl="1">
      <w:lvlJc w:val="left"/>
      <w:lvlText w:val="%2"/>
      <w:numFmt w:val="decimal"/>
      <w:start w:val="1"/>
    </w:lvl>
    <w:lvl w:ilvl="2">
      <w:lvlJc w:val="left"/>
      <w:lvlText w:val="(%3)"/>
      <w:numFmt w:val="lowerLetter"/>
      <w:start w:val="2"/>
    </w:lvl>
  </w:abstractNum>
  <w:abstractNum w:abstractNumId="45">
    <w:nsid w:val="2708C9AF"/>
    <w:multiLevelType w:val="hybridMultilevel"/>
    <w:lvl w:ilvl="0">
      <w:lvlJc w:val="left"/>
      <w:lvlText w:val="(%1)"/>
      <w:numFmt w:val="lowerLetter"/>
      <w:start w:val="3"/>
    </w:lvl>
  </w:abstractNum>
  <w:abstractNum w:abstractNumId="46">
    <w:nsid w:val="5B25ACE2"/>
    <w:multiLevelType w:val="hybridMultilevel"/>
    <w:lvl w:ilvl="0">
      <w:lvlJc w:val="left"/>
      <w:lvlText w:val="%1"/>
      <w:numFmt w:val="decimal"/>
      <w:start w:val="1"/>
    </w:lvl>
    <w:lvl w:ilvl="1">
      <w:lvlJc w:val="left"/>
      <w:lvlText w:val="(%2)"/>
      <w:numFmt w:val="lowerLetter"/>
      <w:start w:val="6"/>
    </w:lvl>
  </w:abstractNum>
  <w:abstractNum w:abstractNumId="47">
    <w:nsid w:val="175DFCF0"/>
    <w:multiLevelType w:val="hybridMultilevel"/>
    <w:lvl w:ilvl="0">
      <w:lvlJc w:val="left"/>
      <w:lvlText w:val="%1."/>
      <w:numFmt w:val="decimal"/>
      <w:start w:val="2"/>
    </w:lvl>
    <w:lvl w:ilvl="1">
      <w:lvlJc w:val="left"/>
      <w:lvlText w:val="(%2)"/>
      <w:numFmt w:val="lowerLetter"/>
      <w:start w:val="1"/>
    </w:lvl>
  </w:abstractNum>
  <w:abstractNum w:abstractNumId="48">
    <w:nsid w:val="4F97E3E4"/>
    <w:multiLevelType w:val="hybridMultilevel"/>
    <w:lvl w:ilvl="0">
      <w:lvlJc w:val="left"/>
      <w:lvlText w:val="%1"/>
      <w:numFmt w:val="lowerLetter"/>
      <w:start w:val="1"/>
    </w:lvl>
    <w:lvl w:ilvl="1">
      <w:lvlJc w:val="left"/>
      <w:lvlText w:val="(%2)"/>
      <w:numFmt w:val="lowerLetter"/>
      <w:start w:val="2"/>
    </w:lvl>
  </w:abstractNum>
  <w:abstractNum w:abstractNumId="49">
    <w:nsid w:val="53B0A9E"/>
    <w:multiLevelType w:val="hybridMultilevel"/>
    <w:lvl w:ilvl="0">
      <w:lvlJc w:val="left"/>
      <w:lvlText w:val="(%1)"/>
      <w:numFmt w:val="lowerLetter"/>
      <w:start w:val="9"/>
    </w:lvl>
    <w:lvl w:ilvl="1">
      <w:lvlJc w:val="left"/>
      <w:lvlText w:val="%2"/>
      <w:numFmt w:val="lowerLetter"/>
      <w:start w:val="1"/>
    </w:lvl>
  </w:abstractNum>
  <w:abstractNum w:abstractNumId="50">
    <w:nsid w:val="34FD6B4F"/>
    <w:multiLevelType w:val="hybridMultilevel"/>
    <w:lvl w:ilvl="0">
      <w:lvlJc w:val="left"/>
      <w:lvlText w:val="(%1)"/>
      <w:numFmt w:val="lowerLetter"/>
      <w:start w:val="6"/>
    </w:lvl>
  </w:abstractNum>
  <w:abstractNum w:abstractNumId="51">
    <w:nsid w:val="5915FF32"/>
    <w:multiLevelType w:val="hybridMultilevel"/>
    <w:lvl w:ilvl="0">
      <w:lvlJc w:val="left"/>
      <w:lvlText w:val="(%1)"/>
      <w:numFmt w:val="lowerLetter"/>
      <w:start w:val="7"/>
    </w:lvl>
  </w:abstractNum>
  <w:abstractNum w:abstractNumId="52">
    <w:nsid w:val="56438D15"/>
    <w:multiLevelType w:val="hybridMultilevel"/>
    <w:lvl w:ilvl="0">
      <w:lvlJc w:val="left"/>
      <w:lvlText w:val="(%1)"/>
      <w:numFmt w:val="lowerLetter"/>
      <w:start w:val="10"/>
    </w:lvl>
  </w:abstractNum>
  <w:abstractNum w:abstractNumId="53">
    <w:nsid w:val="519E3149"/>
    <w:multiLevelType w:val="hybridMultilevel"/>
    <w:lvl w:ilvl="0">
      <w:lvlJc w:val="left"/>
      <w:lvlText w:val="(%1)"/>
      <w:numFmt w:val="lowerRoman"/>
      <w:start w:val="2"/>
    </w:lvl>
  </w:abstractNum>
  <w:abstractNum w:abstractNumId="54">
    <w:nsid w:val="2C6E4AFD"/>
    <w:multiLevelType w:val="hybridMultilevel"/>
    <w:lvl w:ilvl="0">
      <w:lvlJc w:val="left"/>
      <w:lvlText w:val="(%1)"/>
      <w:numFmt w:val="lowerLetter"/>
      <w:start w:val="1"/>
    </w:lvl>
  </w:abstractNum>
  <w:abstractNum w:abstractNumId="55">
    <w:nsid w:val="17A1B582"/>
    <w:multiLevelType w:val="hybridMultilevel"/>
    <w:lvl w:ilvl="0">
      <w:lvlJc w:val="left"/>
      <w:lvlText w:val="(%1)"/>
      <w:numFmt w:val="lowerLetter"/>
      <w:start w:val="1"/>
    </w:lvl>
  </w:abstractNum>
  <w:abstractNum w:abstractNumId="56">
    <w:nsid w:val="4DF72E4E"/>
    <w:multiLevelType w:val="hybridMultilevel"/>
    <w:lvl w:ilvl="0">
      <w:lvlJc w:val="left"/>
      <w:lvlText w:val="(%1)"/>
      <w:numFmt w:val="lowerLetter"/>
      <w:start w:val="1"/>
    </w:lvl>
  </w:abstractNum>
  <w:abstractNum w:abstractNumId="57">
    <w:nsid w:val="5046B5A9"/>
    <w:multiLevelType w:val="hybridMultilevel"/>
    <w:lvl w:ilvl="0">
      <w:lvlJc w:val="left"/>
      <w:lvlText w:val="(%1)"/>
      <w:numFmt w:val="lowerLetter"/>
      <w:start w:val="1"/>
    </w:lvl>
  </w:abstractNum>
  <w:abstractNum w:abstractNumId="58">
    <w:nsid w:val="5D888A08"/>
    <w:multiLevelType w:val="hybridMultilevel"/>
    <w:lvl w:ilvl="0">
      <w:lvlJc w:val="left"/>
      <w:lvlText w:val="(%1)"/>
      <w:numFmt w:val="lowerLetter"/>
      <w:start w:val="1"/>
    </w:lvl>
  </w:abstractNum>
  <w:abstractNum w:abstractNumId="59">
    <w:nsid w:val="2A082C70"/>
    <w:multiLevelType w:val="hybridMultilevel"/>
    <w:lvl w:ilvl="0">
      <w:lvlJc w:val="left"/>
      <w:lvlText w:val="(%1)"/>
      <w:numFmt w:val="lowerLetter"/>
      <w:start w:val="2"/>
    </w:lvl>
  </w:abstractNum>
  <w:abstractNum w:abstractNumId="60">
    <w:nsid w:val="5EC6AFD4"/>
    <w:multiLevelType w:val="hybridMultilevel"/>
    <w:lvl w:ilvl="0">
      <w:lvlJc w:val="left"/>
      <w:lvlText w:val="(%1)"/>
      <w:numFmt w:val="lowerLetter"/>
      <w:start w:val="1"/>
    </w:lvl>
    <w:lvl w:ilvl="1">
      <w:lvlJc w:val="left"/>
      <w:lvlText w:val="(%2)"/>
      <w:numFmt w:val="lowerRoman"/>
      <w:start w:val="1"/>
    </w:lvl>
  </w:abstractNum>
  <w:abstractNum w:abstractNumId="61">
    <w:nsid w:val="19E21BB2"/>
    <w:multiLevelType w:val="hybridMultilevel"/>
    <w:lvl w:ilvl="0">
      <w:lvlJc w:val="left"/>
      <w:lvlText w:val="1"/>
      <w:numFmt w:val="bullet"/>
      <w:start w:val="1"/>
    </w:lvl>
  </w:abstractNum>
  <w:abstractNum w:abstractNumId="62">
    <w:nsid w:val="75E0858A"/>
    <w:multiLevelType w:val="hybridMultilevel"/>
    <w:lvl w:ilvl="0">
      <w:lvlJc w:val="left"/>
      <w:lvlText w:val="2"/>
      <w:numFmt w:val="bullet"/>
      <w:start w:val="1"/>
    </w:lvl>
  </w:abstractNum>
  <w:abstractNum w:abstractNumId="63">
    <w:nsid w:val="57A61A29"/>
    <w:multiLevelType w:val="hybridMultilevel"/>
    <w:lvl w:ilvl="0">
      <w:lvlJc w:val="left"/>
      <w:lvlText w:val="(%1)"/>
      <w:numFmt w:val="lowerLetter"/>
      <w:start w:val="2"/>
    </w:lvl>
  </w:abstractNum>
  <w:abstractNum w:abstractNumId="64">
    <w:nsid w:val="5399C654"/>
    <w:multiLevelType w:val="hybridMultilevel"/>
    <w:lvl w:ilvl="0">
      <w:lvlJc w:val="left"/>
      <w:lvlText w:val="(%1)"/>
      <w:numFmt w:val="lowerLetter"/>
      <w:start w:val="1"/>
    </w:lvl>
    <w:lvl w:ilvl="1">
      <w:lvlJc w:val="left"/>
      <w:lvlText w:val="(%2)"/>
      <w:numFmt w:val="lowerRoman"/>
      <w:start w:val="1"/>
    </w:lvl>
  </w:abstractNum>
  <w:abstractNum w:abstractNumId="65">
    <w:nsid w:val="20EE1348"/>
    <w:multiLevelType w:val="hybridMultilevel"/>
    <w:lvl w:ilvl="0">
      <w:lvlJc w:val="left"/>
      <w:lvlText w:val="%1"/>
      <w:numFmt w:val="upperLetter"/>
      <w:start w:val="1"/>
    </w:lvl>
    <w:lvl w:ilvl="1">
      <w:lvlJc w:val="left"/>
      <w:lvlText w:val="(%2)"/>
      <w:numFmt w:val="lowerLetter"/>
      <w:start w:val="3"/>
    </w:lvl>
  </w:abstractNum>
  <w:abstractNum w:abstractNumId="66">
    <w:nsid w:val="4427069A"/>
    <w:multiLevelType w:val="hybridMultilevel"/>
    <w:lvl w:ilvl="0">
      <w:lvlJc w:val="left"/>
      <w:lvlText w:val="(%1)"/>
      <w:numFmt w:val="upperLetter"/>
      <w:start w:val="1"/>
    </w:lvl>
    <w:lvl w:ilvl="1">
      <w:lvlJc w:val="left"/>
      <w:lvlText w:val="(%2)"/>
      <w:numFmt w:val="lowerLetter"/>
      <w:start w:val="4"/>
    </w:lvl>
  </w:abstractNum>
  <w:abstractNum w:abstractNumId="67">
    <w:nsid w:val="B37E80A"/>
    <w:multiLevelType w:val="hybridMultilevel"/>
    <w:lvl w:ilvl="0">
      <w:lvlJc w:val="left"/>
      <w:lvlText w:val="(%1)"/>
      <w:numFmt w:val="lowerLetter"/>
      <w:start w:val="1"/>
    </w:lvl>
    <w:lvl w:ilvl="1">
      <w:lvlJc w:val="left"/>
      <w:lvlText w:val="*"/>
      <w:numFmt w:val="bullet"/>
      <w:start w:val="1"/>
    </w:lvl>
  </w:abstractNum>
  <w:abstractNum w:abstractNumId="68">
    <w:nsid w:val="2157F6BC"/>
    <w:multiLevelType w:val="hybridMultilevel"/>
    <w:lvl w:ilvl="0">
      <w:lvlJc w:val="left"/>
      <w:lvlText w:val="(%1)"/>
      <w:numFmt w:val="lowerLetter"/>
      <w:start w:val="1"/>
    </w:lvl>
  </w:abstractNum>
  <w:abstractNum w:abstractNumId="69">
    <w:nsid w:val="704E1DD5"/>
    <w:multiLevelType w:val="hybridMultilevel"/>
    <w:lvl w:ilvl="0">
      <w:lvlJc w:val="left"/>
      <w:lvlText w:val="(%1)"/>
      <w:numFmt w:val="lowerLetter"/>
      <w:start w:val="1"/>
    </w:lvl>
  </w:abstractNum>
  <w:abstractNum w:abstractNumId="70">
    <w:nsid w:val="57D2F10E"/>
    <w:multiLevelType w:val="hybridMultilevel"/>
    <w:lvl w:ilvl="0">
      <w:lvlJc w:val="left"/>
      <w:lvlText w:val="%1"/>
      <w:numFmt w:val="lowerRoman"/>
      <w:start w:val="1"/>
    </w:lvl>
    <w:lvl w:ilvl="1">
      <w:lvlJc w:val="left"/>
      <w:lvlText w:val="(%2)"/>
      <w:numFmt w:val="lowerLetter"/>
      <w:start w:val="1"/>
    </w:lvl>
  </w:abstractNum>
  <w:abstractNum w:abstractNumId="71">
    <w:nsid w:val="BFFAE18"/>
    <w:multiLevelType w:val="hybridMultilevel"/>
    <w:lvl w:ilvl="0">
      <w:lvlJc w:val="left"/>
      <w:lvlText w:val="(%1)"/>
      <w:numFmt w:val="lowerRoman"/>
      <w:start w:val="1"/>
    </w:lvl>
    <w:lvl w:ilvl="1">
      <w:lvlJc w:val="left"/>
      <w:lvlText w:val="%2"/>
      <w:numFmt w:val="lowerLetter"/>
      <w:start w:val="1"/>
    </w:lvl>
  </w:abstractNum>
  <w:abstractNum w:abstractNumId="72">
    <w:nsid w:val="E3E47A8"/>
    <w:multiLevelType w:val="hybridMultilevel"/>
    <w:lvl w:ilvl="0">
      <w:lvlJc w:val="left"/>
      <w:lvlText w:val="%1"/>
      <w:numFmt w:val="upperLetter"/>
      <w:start w:val="1"/>
    </w:lvl>
    <w:lvl w:ilvl="1">
      <w:lvlJc w:val="left"/>
      <w:lvlText w:val="(%2)"/>
      <w:numFmt w:val="lowerRoman"/>
      <w:start w:val="4"/>
    </w:lvl>
    <w:lvl w:ilvl="2">
      <w:lvlJc w:val="left"/>
      <w:lvlText w:val="(%3)"/>
      <w:numFmt w:val="lowerLetter"/>
      <w:start w:val="2"/>
    </w:lvl>
  </w:abstractNum>
  <w:abstractNum w:abstractNumId="73">
    <w:nsid w:val="2E48F044"/>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4"/>
    </w:lvl>
  </w:abstractNum>
  <w:abstractNum w:abstractNumId="74">
    <w:nsid w:val="49D0FEAC"/>
    <w:multiLevelType w:val="hybridMultilevel"/>
    <w:lvl w:ilvl="0">
      <w:lvlJc w:val="left"/>
      <w:lvlText w:val="%1"/>
      <w:numFmt w:val="lowerLetter"/>
      <w:start w:val="1"/>
    </w:lvl>
    <w:lvl w:ilvl="1">
      <w:lvlJc w:val="left"/>
      <w:lvlText w:val="(%2)"/>
      <w:numFmt w:val="lowerLetter"/>
      <w:start w:val="1"/>
    </w:lvl>
  </w:abstractNum>
  <w:abstractNum w:abstractNumId="75">
    <w:nsid w:val="4BEE5A5B"/>
    <w:multiLevelType w:val="hybridMultilevel"/>
    <w:lvl w:ilvl="0">
      <w:lvlJc w:val="left"/>
      <w:lvlText w:val="(%1)"/>
      <w:numFmt w:val="lowerLetter"/>
      <w:start w:val="3"/>
    </w:lvl>
    <w:lvl w:ilvl="1">
      <w:lvlJc w:val="left"/>
      <w:lvlText w:val="%2"/>
      <w:numFmt w:val="lowerLetter"/>
      <w:start w:val="1"/>
    </w:lvl>
  </w:abstractNum>
  <w:abstractNum w:abstractNumId="76">
    <w:nsid w:val="5551B9F3"/>
    <w:multiLevelType w:val="hybridMultilevel"/>
    <w:lvl w:ilvl="0">
      <w:lvlJc w:val="left"/>
      <w:lvlText w:val="(%1)"/>
      <w:numFmt w:val="lowerLetter"/>
      <w:start w:val="2"/>
    </w:lvl>
    <w:lvl w:ilvl="1">
      <w:lvlJc w:val="left"/>
      <w:lvlText w:val="(%2)"/>
      <w:numFmt w:val="lowerRoman"/>
      <w:start w:val="1"/>
    </w:lvl>
  </w:abstractNum>
  <w:abstractNum w:abstractNumId="77">
    <w:nsid w:val="24F6AB8E"/>
    <w:multiLevelType w:val="hybridMultilevel"/>
    <w:lvl w:ilvl="0">
      <w:lvlJc w:val="left"/>
      <w:lvlText w:val="(%1)"/>
      <w:numFmt w:val="lowerLetter"/>
      <w:start w:val="1"/>
    </w:lvl>
  </w:abstractNum>
  <w:abstractNum w:abstractNumId="78">
    <w:nsid w:val="634C574C"/>
    <w:multiLevelType w:val="hybridMultilevel"/>
    <w:lvl w:ilvl="0">
      <w:lvlJc w:val="left"/>
      <w:lvlText w:val="1"/>
      <w:numFmt w:val="bullet"/>
      <w:start w:val="1"/>
    </w:lvl>
  </w:abstractNum>
  <w:abstractNum w:abstractNumId="79">
    <w:nsid w:val="24E99DD7"/>
    <w:multiLevelType w:val="hybridMultilevel"/>
    <w:lvl w:ilvl="0">
      <w:lvlJc w:val="left"/>
      <w:lvlText w:val="(%1)"/>
      <w:numFmt w:val="lowerLetter"/>
      <w:start w:val="1"/>
    </w:lvl>
  </w:abstractNum>
  <w:abstractNum w:abstractNumId="80">
    <w:nsid w:val="2A31B62D"/>
    <w:multiLevelType w:val="hybridMultilevel"/>
    <w:lvl w:ilvl="0">
      <w:lvlJc w:val="left"/>
      <w:lvlText w:val="(%1)"/>
      <w:numFmt w:val="lowerLetter"/>
      <w:start w:val="1"/>
    </w:lvl>
  </w:abstractNum>
  <w:abstractNum w:abstractNumId="81">
    <w:nsid w:val="1849C29B"/>
    <w:multiLevelType w:val="hybridMultilevel"/>
    <w:lvl w:ilvl="0">
      <w:lvlJc w:val="left"/>
      <w:lvlText w:val="(%1)"/>
      <w:numFmt w:val="lowerLetter"/>
      <w:start w:val="4"/>
    </w:lvl>
  </w:abstractNum>
  <w:abstractNum w:abstractNumId="82">
    <w:nsid w:val="7DFF9D09"/>
    <w:multiLevelType w:val="hybridMultilevel"/>
    <w:lvl w:ilvl="0">
      <w:lvlJc w:val="left"/>
      <w:lvlText w:val="(%1)"/>
      <w:numFmt w:val="lowerLetter"/>
      <w:start w:val="1"/>
    </w:lvl>
  </w:abstractNum>
  <w:abstractNum w:abstractNumId="83">
    <w:nsid w:val="754342"/>
    <w:multiLevelType w:val="hybridMultilevel"/>
    <w:lvl w:ilvl="0">
      <w:lvlJc w:val="left"/>
      <w:lvlText w:val="(%1)"/>
      <w:numFmt w:val="lowerRoman"/>
      <w:start w:val="2"/>
    </w:lvl>
  </w:abstractNum>
  <w:abstractNum w:abstractNumId="84">
    <w:nsid w:val="69E7F3E5"/>
    <w:multiLevelType w:val="hybridMultilevel"/>
    <w:lvl w:ilvl="0">
      <w:lvlJc w:val="left"/>
      <w:lvlText w:val="(%1)"/>
      <w:numFmt w:val="lowerLetter"/>
      <w:start w:val="1"/>
    </w:lvl>
  </w:abstractNum>
  <w:abstractNum w:abstractNumId="85">
    <w:nsid w:val="2A6DE806"/>
    <w:multiLevelType w:val="hybridMultilevel"/>
    <w:lvl w:ilvl="0">
      <w:lvlJc w:val="left"/>
      <w:lvlText w:val="(%1)"/>
      <w:numFmt w:val="lowerLetter"/>
      <w:start w:val="1"/>
    </w:lvl>
  </w:abstractNum>
  <w:abstractNum w:abstractNumId="86">
    <w:nsid w:val="1816F8C4"/>
    <w:multiLevelType w:val="hybridMultilevel"/>
    <w:lvl w:ilvl="0">
      <w:lvlJc w:val="left"/>
      <w:lvlText w:val="(%1)"/>
      <w:numFmt w:val="lowerLetter"/>
      <w:start w:val="3"/>
    </w:lvl>
  </w:abstractNum>
  <w:abstractNum w:abstractNumId="87">
    <w:nsid w:val="37DF2233"/>
    <w:multiLevelType w:val="hybridMultilevel"/>
    <w:lvl w:ilvl="0">
      <w:lvlJc w:val="left"/>
      <w:lvlText w:val="(%1)"/>
      <w:numFmt w:val="lowerLetter"/>
      <w:start w:val="3"/>
    </w:lvl>
  </w:abstractNum>
  <w:abstractNum w:abstractNumId="88">
    <w:nsid w:val="7AB49DAF"/>
    <w:multiLevelType w:val="hybridMultilevel"/>
    <w:lvl w:ilvl="0">
      <w:lvlJc w:val="left"/>
      <w:lvlText w:val="(%1)"/>
      <w:numFmt w:val="lowerLetter"/>
      <w:start w:val="1"/>
    </w:lvl>
  </w:abstractNum>
  <w:abstractNum w:abstractNumId="89">
    <w:nsid w:val="759F82CD"/>
    <w:multiLevelType w:val="hybridMultilevel"/>
    <w:lvl w:ilvl="0">
      <w:lvlJc w:val="left"/>
      <w:lvlText w:val="(%1)"/>
      <w:numFmt w:val="lowerLetter"/>
      <w:start w:val="1"/>
    </w:lvl>
  </w:abstractNum>
  <w:abstractNum w:abstractNumId="90">
    <w:nsid w:val="61E74EA3"/>
    <w:multiLevelType w:val="hybridMultilevel"/>
    <w:lvl w:ilvl="0">
      <w:lvlJc w:val="left"/>
      <w:lvlText w:val="(%1)"/>
      <w:numFmt w:val="lowerLetter"/>
      <w:start w:val="5"/>
    </w:lvl>
  </w:abstractNum>
  <w:abstractNum w:abstractNumId="91">
    <w:nsid w:val="597B4D84"/>
    <w:multiLevelType w:val="hybridMultilevel"/>
    <w:lvl w:ilvl="0">
      <w:lvlJc w:val="left"/>
      <w:lvlText w:val="(%1)"/>
      <w:numFmt w:val="lowerLetter"/>
      <w:start w:val="1"/>
    </w:lvl>
  </w:abstractNum>
  <w:abstractNum w:abstractNumId="92">
    <w:nsid w:val="F819E7F"/>
    <w:multiLevelType w:val="hybridMultilevel"/>
    <w:lvl w:ilvl="0">
      <w:lvlJc w:val="left"/>
      <w:lvlText w:val="%1."/>
      <w:numFmt w:val="decimal"/>
      <w:start w:val="1"/>
    </w:lvl>
    <w:lvl w:ilvl="1">
      <w:lvlJc w:val="left"/>
      <w:lvlText w:val="•"/>
      <w:numFmt w:val="bullet"/>
      <w:start w:val="1"/>
    </w:lvl>
  </w:abstractNum>
  <w:abstractNum w:abstractNumId="93">
    <w:nsid w:val="57C7D42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94">
    <w:nsid w:val="312167AD"/>
    <w:multiLevelType w:val="hybridMultilevel"/>
    <w:lvl w:ilvl="0">
      <w:lvlJc w:val="left"/>
      <w:lvlText w:val="%1"/>
      <w:numFmt w:val="upperLetter"/>
      <w:start w:val="1"/>
    </w:lvl>
    <w:lvl w:ilvl="1">
      <w:lvlJc w:val="left"/>
      <w:lvlText w:val="(%2)"/>
      <w:numFmt w:val="lowerRoman"/>
      <w:start w:val="2"/>
    </w:lvl>
  </w:abstractNum>
  <w:abstractNum w:abstractNumId="95">
    <w:nsid w:val="631B64D4"/>
    <w:multiLevelType w:val="hybridMultilevel"/>
    <w:lvl w:ilvl="0">
      <w:lvlJc w:val="left"/>
      <w:lvlText w:val="(%1)"/>
      <w:numFmt w:val="upperLetter"/>
      <w:start w:val="1"/>
    </w:lvl>
    <w:lvl w:ilvl="1">
      <w:lvlJc w:val="left"/>
      <w:lvlText w:val="%2"/>
      <w:numFmt w:val="lowerRoman"/>
      <w:start w:val="1"/>
    </w:lvl>
  </w:abstractNum>
  <w:abstractNum w:abstractNumId="96">
    <w:nsid w:val="78B5E776"/>
    <w:multiLevelType w:val="hybridMultilevel"/>
    <w:lvl w:ilvl="0">
      <w:lvlJc w:val="left"/>
      <w:lvlText w:val="(%1)"/>
      <w:numFmt w:val="lowerLetter"/>
      <w:start w:val="7"/>
    </w:lvl>
  </w:abstractNum>
  <w:abstractNum w:abstractNumId="97">
    <w:nsid w:val="75486E47"/>
    <w:multiLevelType w:val="hybridMultilevel"/>
    <w:lvl w:ilvl="0">
      <w:lvlJc w:val="left"/>
      <w:lvlText w:val="(%1)"/>
      <w:numFmt w:val="lowerLetter"/>
      <w:start w:val="16"/>
    </w:lvl>
    <w:lvl w:ilvl="1">
      <w:lvlJc w:val="left"/>
      <w:lvlText w:val="(%2)"/>
      <w:numFmt w:val="lowerRoman"/>
      <w:start w:val="1"/>
    </w:lvl>
  </w:abstractNum>
  <w:abstractNum w:abstractNumId="98">
    <w:nsid w:val="6E534CDE"/>
    <w:multiLevelType w:val="hybridMultilevel"/>
    <w:lvl w:ilvl="0">
      <w:lvlJc w:val="left"/>
      <w:lvlText w:val="(%1)"/>
      <w:numFmt w:val="lowerLetter"/>
      <w:start w:val="26"/>
    </w:lvl>
  </w:abstractNum>
  <w:abstractNum w:abstractNumId="99">
    <w:nsid w:val="1A0DDE32"/>
    <w:multiLevelType w:val="hybridMultilevel"/>
    <w:lvl w:ilvl="0">
      <w:lvlJc w:val="left"/>
      <w:lvlText w:val="%1"/>
      <w:numFmt w:val="decimal"/>
      <w:start w:val="1"/>
    </w:lvl>
    <w:lvl w:ilvl="1">
      <w:lvlJc w:val="left"/>
      <w:lvlText w:val="(%2)"/>
      <w:numFmt w:val="lowerLetter"/>
      <w:start w:val="27"/>
    </w:lvl>
  </w:abstractNum>
  <w:abstractNum w:abstractNumId="100">
    <w:nsid w:val="65968C1C"/>
    <w:multiLevelType w:val="hybridMultilevel"/>
    <w:lvl w:ilvl="0">
      <w:lvlJc w:val="left"/>
      <w:lvlText w:val="%1."/>
      <w:numFmt w:val="decimal"/>
      <w:start w:val="3"/>
    </w:lvl>
    <w:lvl w:ilvl="1">
      <w:lvlJc w:val="left"/>
      <w:lvlText w:val="(%2)"/>
      <w:numFmt w:val="lowerLetter"/>
      <w:start w:val="1"/>
    </w:lvl>
  </w:abstractNum>
  <w:abstractNum w:abstractNumId="101">
    <w:nsid w:val="46263D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2">
    <w:nsid w:val="260D8C4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3">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104">
    <w:nsid w:val="746F2E3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5">
    <w:nsid w:val="6FDE8AF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6">
    <w:nsid w:val="3FC32E20"/>
    <w:multiLevelType w:val="hybridMultilevel"/>
    <w:lvl w:ilvl="0">
      <w:lvlJc w:val="left"/>
      <w:lvlText w:val="(%1)"/>
      <w:numFmt w:val="lowerLetter"/>
      <w:start w:val="4"/>
    </w:lvl>
    <w:lvl w:ilvl="1">
      <w:lvlJc w:val="left"/>
      <w:lvlText w:val="(%2)"/>
      <w:numFmt w:val="lowerRoman"/>
      <w:start w:val="1"/>
    </w:lvl>
  </w:abstractNum>
  <w:abstractNum w:abstractNumId="107">
    <w:nsid w:val="49C0E823"/>
    <w:multiLevelType w:val="hybridMultilevel"/>
    <w:lvl w:ilvl="0">
      <w:lvlJc w:val="left"/>
      <w:lvlText w:val="(%1)"/>
      <w:numFmt w:val="lowerRoman"/>
      <w:start w:val="2"/>
    </w:lvl>
  </w:abstractNum>
  <w:abstractNum w:abstractNumId="108">
    <w:nsid w:val="14D5368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9">
    <w:nsid w:val="230F856C"/>
    <w:multiLevelType w:val="hybridMultilevel"/>
    <w:lvl w:ilvl="0">
      <w:lvlJc w:val="left"/>
      <w:lvlText w:val="%1."/>
      <w:numFmt w:val="decimal"/>
      <w:start w:val="8"/>
    </w:lvl>
    <w:lvl w:ilvl="1">
      <w:lvlJc w:val="left"/>
      <w:lvlText w:val="(%2)"/>
      <w:numFmt w:val="lowerLetter"/>
      <w:start w:val="1"/>
    </w:lvl>
  </w:abstractNum>
  <w:abstractNum w:abstractNumId="110">
    <w:nsid w:val="6EAA85FB"/>
    <w:multiLevelType w:val="hybridMultilevel"/>
    <w:lvl w:ilvl="0">
      <w:lvlJc w:val="left"/>
      <w:lvlText w:val="%1"/>
      <w:numFmt w:val="decimal"/>
      <w:start w:val="1"/>
    </w:lvl>
    <w:lvl w:ilvl="1">
      <w:lvlJc w:val="left"/>
      <w:lvlText w:val="(%2)"/>
      <w:numFmt w:val="lowerLetter"/>
      <w:start w:val="2"/>
    </w:lvl>
  </w:abstractNum>
  <w:abstractNum w:abstractNumId="111">
    <w:nsid w:val="3F06ECB2"/>
    <w:multiLevelType w:val="hybridMultilevel"/>
    <w:lvl w:ilvl="0">
      <w:lvlJc w:val="left"/>
      <w:lvlText w:val="%1."/>
      <w:numFmt w:val="decimal"/>
      <w:start w:val="9"/>
    </w:lvl>
    <w:lvl w:ilvl="1">
      <w:lvlJc w:val="left"/>
      <w:lvlText w:val="(%2)"/>
      <w:numFmt w:val="lowerLetter"/>
      <w:start w:val="1"/>
    </w:lvl>
  </w:abstractNum>
  <w:abstractNum w:abstractNumId="112">
    <w:nsid w:val="3B594807"/>
    <w:multiLevelType w:val="hybridMultilevel"/>
    <w:lvl w:ilvl="0">
      <w:lvlJc w:val="left"/>
      <w:lvlText w:val="%1"/>
      <w:numFmt w:val="decimal"/>
      <w:start w:val="1"/>
    </w:lvl>
    <w:lvl w:ilvl="1">
      <w:lvlJc w:val="left"/>
      <w:lvlText w:val="(%2)"/>
      <w:numFmt w:val="lowerLetter"/>
      <w:start w:val="3"/>
    </w:lvl>
  </w:abstractNum>
  <w:abstractNum w:abstractNumId="113">
    <w:nsid w:val="6CAA2304"/>
    <w:multiLevelType w:val="hybridMultilevel"/>
    <w:lvl w:ilvl="0">
      <w:lvlJc w:val="left"/>
      <w:lvlText w:val="%1."/>
      <w:numFmt w:val="decimal"/>
      <w:start w:val="10"/>
    </w:lvl>
    <w:lvl w:ilvl="1">
      <w:lvlJc w:val="left"/>
      <w:lvlText w:val="(%2)"/>
      <w:numFmt w:val="lowerLetter"/>
      <w:start w:val="1"/>
    </w:lvl>
  </w:abstractNum>
  <w:abstractNum w:abstractNumId="114">
    <w:nsid w:val="3F7C2FF4"/>
    <w:multiLevelType w:val="hybridMultilevel"/>
    <w:lvl w:ilvl="0">
      <w:lvlJc w:val="left"/>
      <w:lvlText w:val="%1"/>
      <w:numFmt w:val="decimal"/>
      <w:start w:val="1"/>
    </w:lvl>
    <w:lvl w:ilvl="1">
      <w:lvlJc w:val="left"/>
      <w:lvlText w:val="(%2)"/>
      <w:numFmt w:val="lowerLetter"/>
      <w:start w:val="2"/>
    </w:lvl>
  </w:abstractNum>
  <w:abstractNum w:abstractNumId="115">
    <w:nsid w:val="25413BEC"/>
    <w:multiLevelType w:val="hybridMultilevel"/>
    <w:lvl w:ilvl="0">
      <w:lvlJc w:val="left"/>
      <w:lvlText w:val="%1."/>
      <w:numFmt w:val="decimal"/>
      <w:start w:val="13"/>
    </w:lvl>
    <w:lvl w:ilvl="1">
      <w:lvlJc w:val="left"/>
      <w:lvlText w:val="(%2)"/>
      <w:numFmt w:val="lowerLetter"/>
      <w:start w:val="1"/>
    </w:lvl>
  </w:abstractNum>
  <w:abstractNum w:abstractNumId="116">
    <w:nsid w:val="17180B0B"/>
    <w:multiLevelType w:val="hybridMultilevel"/>
    <w:lvl w:ilvl="0">
      <w:lvlJc w:val="left"/>
      <w:lvlText w:val="%1"/>
      <w:numFmt w:val="lowerRoman"/>
      <w:start w:val="1"/>
    </w:lvl>
    <w:lvl w:ilvl="1">
      <w:lvlJc w:val="left"/>
      <w:lvlText w:val="%2."/>
      <w:numFmt w:val="decimal"/>
      <w:start w:val="14"/>
    </w:lvl>
    <w:lvl w:ilvl="2">
      <w:lvlJc w:val="left"/>
      <w:lvlText w:val="(%3)"/>
      <w:numFmt w:val="lowerLetter"/>
      <w:start w:val="1"/>
    </w:lvl>
  </w:abstractNum>
  <w:abstractNum w:abstractNumId="117">
    <w:nsid w:val="579328B9"/>
    <w:multiLevelType w:val="hybridMultilevel"/>
    <w:lvl w:ilvl="0">
      <w:lvlJc w:val="left"/>
      <w:lvlText w:val="(%1)"/>
      <w:numFmt w:val="lowerRoman"/>
      <w:start w:val="4"/>
    </w:lvl>
    <w:lvl w:ilvl="1">
      <w:lvlJc w:val="left"/>
      <w:lvlText w:val="%2."/>
      <w:numFmt w:val="decimal"/>
      <w:start w:val="15"/>
    </w:lvl>
    <w:lvl w:ilvl="2">
      <w:lvlJc w:val="left"/>
      <w:lvlText w:val="%3"/>
      <w:numFmt w:val="lowerLetter"/>
      <w:start w:val="1"/>
    </w:lvl>
  </w:abstractNum>
  <w:abstractNum w:abstractNumId="118">
    <w:nsid w:val="5D205E20"/>
    <w:multiLevelType w:val="hybridMultilevel"/>
    <w:lvl w:ilvl="0">
      <w:lvlJc w:val="left"/>
      <w:lvlText w:val="%1."/>
      <w:numFmt w:val="decimal"/>
      <w:start w:val="17"/>
    </w:lvl>
    <w:lvl w:ilvl="1">
      <w:lvlJc w:val="left"/>
      <w:lvlText w:val="(%2)"/>
      <w:numFmt w:val="lowerLetter"/>
      <w:start w:val="1"/>
    </w:lvl>
  </w:abstractNum>
  <w:abstractNum w:abstractNumId="119">
    <w:nsid w:val="11CCA8BA"/>
    <w:multiLevelType w:val="hybridMultilevel"/>
    <w:lvl w:ilvl="0">
      <w:lvlJc w:val="left"/>
      <w:lvlText w:val="%1."/>
      <w:numFmt w:val="decimal"/>
      <w:start w:val="22"/>
    </w:lvl>
  </w:abstractNum>
  <w:abstractNum w:abstractNumId="120">
    <w:nsid w:val="4D32AB86"/>
    <w:multiLevelType w:val="hybridMultilevel"/>
    <w:lvl w:ilvl="0">
      <w:lvlJc w:val="left"/>
      <w:lvlText w:val="%1."/>
      <w:numFmt w:val="upperLetter"/>
      <w:start w:val="9"/>
    </w:lvl>
  </w:abstractNum>
  <w:abstractNum w:abstractNumId="121">
    <w:nsid w:val="3F07ACC3"/>
    <w:multiLevelType w:val="hybridMultilevel"/>
    <w:lvl w:ilvl="0">
      <w:lvlJc w:val="left"/>
      <w:lvlText w:val="%1."/>
      <w:numFmt w:val="upperLetter"/>
      <w:start w:val="35"/>
    </w:lvl>
    <w:lvl w:ilvl="1">
      <w:lvlJc w:val="left"/>
      <w:lvlText w:val="%2."/>
      <w:numFmt w:val="decimal"/>
      <w:start w:val="1"/>
    </w:lvl>
  </w:abstractNum>
  <w:abstractNum w:abstractNumId="122">
    <w:nsid w:val="6B47F63E"/>
    <w:multiLevelType w:val="hybridMultilevel"/>
    <w:lvl w:ilvl="0">
      <w:lvlJc w:val="left"/>
      <w:lvlText w:val="%1."/>
      <w:numFmt w:val="decimal"/>
      <w:start w:val="2"/>
    </w:lvl>
    <w:lvl w:ilvl="1">
      <w:lvlJc w:val="left"/>
      <w:lvlText w:val="(%2)"/>
      <w:numFmt w:val="lowerLetter"/>
      <w:start w:val="1"/>
    </w:lvl>
  </w:abstractNum>
  <w:abstractNum w:abstractNumId="123">
    <w:nsid w:val="5CB44A05"/>
    <w:multiLevelType w:val="hybridMultilevel"/>
    <w:lvl w:ilvl="0">
      <w:lvlJc w:val="left"/>
      <w:lvlText w:val="%1."/>
      <w:numFmt w:val="decimal"/>
      <w:start w:val="3"/>
    </w:lvl>
  </w:abstractNum>
  <w:abstractNum w:abstractNumId="124">
    <w:nsid w:val="16CF80F1"/>
    <w:multiLevelType w:val="hybridMultilevel"/>
    <w:lvl w:ilvl="0">
      <w:lvlJc w:val="left"/>
      <w:lvlText w:val="%1."/>
      <w:numFmt w:val="decimal"/>
      <w:start w:val="4"/>
    </w:lvl>
  </w:abstractNum>
  <w:abstractNum w:abstractNumId="125">
    <w:nsid w:val="1C695DEC"/>
    <w:multiLevelType w:val="hybridMultilevel"/>
    <w:lvl w:ilvl="0">
      <w:lvlJc w:val="left"/>
      <w:lvlText w:val="%1."/>
      <w:numFmt w:val="decimal"/>
      <w:start w:val="5"/>
    </w:lvl>
    <w:lvl w:ilvl="1">
      <w:lvlJc w:val="left"/>
      <w:lvlText w:val="(%2)"/>
      <w:numFmt w:val="lowerLetter"/>
      <w:start w:val="1"/>
    </w:lvl>
  </w:abstractNum>
  <w:abstractNum w:abstractNumId="126">
    <w:nsid w:val="3FCFAED9"/>
    <w:multiLevelType w:val="hybridMultilevel"/>
    <w:lvl w:ilvl="0">
      <w:lvlJc w:val="left"/>
      <w:lvlText w:val="%1."/>
      <w:numFmt w:val="decimal"/>
      <w:start w:val="7"/>
    </w:lvl>
    <w:lvl w:ilvl="1">
      <w:lvlJc w:val="left"/>
      <w:lvlText w:val="(%2)"/>
      <w:numFmt w:val="lowerLetter"/>
      <w:start w:val="1"/>
    </w:lvl>
  </w:abstractNum>
  <w:abstractNum w:abstractNumId="127">
    <w:nsid w:val="F856867"/>
    <w:multiLevelType w:val="hybridMultilevel"/>
    <w:lvl w:ilvl="0">
      <w:lvlJc w:val="left"/>
      <w:lvlText w:val="%1."/>
      <w:numFmt w:val="decimal"/>
      <w:start w:val="10"/>
    </w:lvl>
  </w:abstractNum>
  <w:abstractNum w:abstractNumId="128">
    <w:nsid w:val="11B1CC33"/>
    <w:multiLevelType w:val="hybridMultilevel"/>
    <w:lvl w:ilvl="0">
      <w:lvlJc w:val="left"/>
      <w:lvlText w:val="%1."/>
      <w:numFmt w:val="decimal"/>
      <w:start w:val="1"/>
    </w:lvl>
    <w:lvl w:ilvl="1">
      <w:lvlJc w:val="left"/>
      <w:lvlText w:val="(%2)"/>
      <w:numFmt w:val="lowerLetter"/>
      <w:start w:val="1"/>
    </w:lvl>
  </w:abstractNum>
  <w:abstractNum w:abstractNumId="129">
    <w:nsid w:val="2E22FBB7"/>
    <w:multiLevelType w:val="hybridMultilevel"/>
    <w:lvl w:ilvl="0">
      <w:lvlJc w:val="left"/>
      <w:lvlText w:val="%1"/>
      <w:numFmt w:val="decimal"/>
      <w:start w:val="1"/>
    </w:lvl>
    <w:lvl w:ilvl="1">
      <w:lvlJc w:val="left"/>
      <w:lvlText w:val="(%2)"/>
      <w:numFmt w:val="lowerLetter"/>
      <w:start w:val="2"/>
    </w:lvl>
  </w:abstractNum>
  <w:abstractNum w:abstractNumId="130">
    <w:nsid w:val="29934699"/>
    <w:multiLevelType w:val="hybridMultilevel"/>
    <w:lvl w:ilvl="0">
      <w:lvlJc w:val="left"/>
      <w:lvlText w:val="(%1)"/>
      <w:numFmt w:val="decimal"/>
      <w:start w:val="120"/>
    </w:lvl>
    <w:lvl w:ilvl="1">
      <w:lvlJc w:val="left"/>
      <w:lvlText w:val="(%2)"/>
      <w:numFmt w:val="lowerLetter"/>
      <w:start w:val="6"/>
    </w:lvl>
  </w:abstractNum>
  <w:abstractNum w:abstractNumId="131">
    <w:nsid w:val="77485850"/>
    <w:multiLevelType w:val="hybridMultilevel"/>
    <w:lvl w:ilvl="0">
      <w:lvlJc w:val="left"/>
      <w:lvlText w:val="%1."/>
      <w:numFmt w:val="decimal"/>
      <w:start w:val="6"/>
    </w:lvl>
    <w:lvl w:ilvl="1">
      <w:lvlJc w:val="left"/>
      <w:lvlText w:val="(%2)"/>
      <w:numFmt w:val="lowerLetter"/>
      <w:start w:val="1"/>
    </w:lvl>
  </w:abstractNum>
  <w:abstractNum w:abstractNumId="132">
    <w:nsid w:val="744939A3"/>
    <w:multiLevelType w:val="hybridMultilevel"/>
    <w:lvl w:ilvl="0">
      <w:lvlJc w:val="left"/>
      <w:lvlText w:val="(%1)"/>
      <w:numFmt w:val="lowerLetter"/>
      <w:start w:val="2"/>
    </w:lvl>
  </w:abstractNum>
  <w:abstractNum w:abstractNumId="133">
    <w:nsid w:val="4FA0D2E3"/>
    <w:multiLevelType w:val="hybridMultilevel"/>
    <w:lvl w:ilvl="0">
      <w:lvlJc w:val="left"/>
      <w:lvlText w:val="%1"/>
      <w:numFmt w:val="decimal"/>
      <w:start w:val="1"/>
    </w:lvl>
    <w:lvl w:ilvl="1">
      <w:lvlJc w:val="left"/>
      <w:lvlText w:val="(%2)"/>
      <w:numFmt w:val="lowerLetter"/>
      <w:start w:val="3"/>
    </w:lvl>
  </w:abstractNum>
  <w:abstractNum w:abstractNumId="134">
    <w:nsid w:val="6B1D2C14"/>
    <w:multiLevelType w:val="hybridMultilevel"/>
    <w:lvl w:ilvl="0">
      <w:lvlJc w:val="left"/>
      <w:lvlText w:val="%1."/>
      <w:numFmt w:val="decimal"/>
      <w:start w:val="8"/>
    </w:lvl>
    <w:lvl w:ilvl="1">
      <w:lvlJc w:val="left"/>
      <w:lvlText w:val="%2"/>
      <w:numFmt w:val="lowerLetter"/>
      <w:start w:val="1"/>
    </w:lvl>
  </w:abstractNum>
  <w:abstractNum w:abstractNumId="135">
    <w:nsid w:val="68B867D3"/>
    <w:multiLevelType w:val="hybridMultilevel"/>
    <w:lvl w:ilvl="0">
      <w:lvlJc w:val="left"/>
      <w:lvlText w:val="(%1)"/>
      <w:numFmt w:val="lowerLetter"/>
      <w:start w:val="1"/>
    </w:lvl>
  </w:abstractNum>
  <w:abstractNum w:abstractNumId="136">
    <w:nsid w:val="3F7F5DD9"/>
    <w:multiLevelType w:val="hybridMultilevel"/>
    <w:lvl w:ilvl="0">
      <w:lvlJc w:val="left"/>
      <w:lvlText w:val="(%1)"/>
      <w:numFmt w:val="decimal"/>
      <w:start w:val="2"/>
    </w:lvl>
  </w:abstractNum>
  <w:abstractNum w:abstractNumId="137">
    <w:nsid w:val="2AE05A34"/>
    <w:multiLevelType w:val="hybridMultilevel"/>
    <w:lvl w:ilvl="0">
      <w:lvlJc w:val="left"/>
      <w:lvlText w:val="(%1)"/>
      <w:numFmt w:val="lowerLetter"/>
      <w:start w:val="4"/>
    </w:lvl>
  </w:abstractNum>
  <w:abstractNum w:abstractNumId="138">
    <w:nsid w:val="32794FF7"/>
    <w:multiLevelType w:val="hybridMultilevel"/>
    <w:lvl w:ilvl="0">
      <w:lvlJc w:val="left"/>
      <w:lvlText w:val="%1."/>
      <w:numFmt w:val="decimal"/>
      <w:start w:val="3"/>
    </w:lvl>
  </w:abstractNum>
  <w:abstractNum w:abstractNumId="139">
    <w:nsid w:val="5454945E"/>
    <w:multiLevelType w:val="hybridMultilevel"/>
    <w:lvl w:ilvl="0">
      <w:lvlJc w:val="left"/>
      <w:lvlText w:val="%1."/>
      <w:numFmt w:val="decimal"/>
      <w:start w:val="6"/>
    </w:lvl>
  </w:abstractNum>
  <w:abstractNum w:abstractNumId="140">
    <w:nsid w:val="4DEFDFA0"/>
    <w:multiLevelType w:val="hybridMultilevel"/>
    <w:lvl w:ilvl="0">
      <w:lvlJc w:val="left"/>
      <w:lvlText w:val="(%1)"/>
      <w:numFmt w:val="lowerLetter"/>
      <w:start w:val="1"/>
    </w:lvl>
  </w:abstractNum>
  <w:abstractNum w:abstractNumId="141">
    <w:nsid w:val="2123D5F2"/>
    <w:multiLevelType w:val="hybridMultilevel"/>
    <w:lvl w:ilvl="0">
      <w:lvlJc w:val="left"/>
      <w:lvlText w:val="(%1)"/>
      <w:numFmt w:val="lowerLetter"/>
      <w:start w:val="3"/>
    </w:lvl>
  </w:abstractNum>
  <w:abstractNum w:abstractNumId="142">
    <w:nsid w:val="135B8110"/>
    <w:multiLevelType w:val="hybridMultilevel"/>
    <w:lvl w:ilvl="0">
      <w:lvlJc w:val="left"/>
      <w:lvlText w:val="%1."/>
      <w:numFmt w:val="decimal"/>
      <w:start w:val="8"/>
    </w:lvl>
  </w:abstractNum>
  <w:abstractNum w:abstractNumId="143">
    <w:nsid w:val="94927A8"/>
    <w:multiLevelType w:val="hybridMultilevel"/>
    <w:lvl w:ilvl="0">
      <w:lvlJc w:val="left"/>
      <w:lvlText w:val="(%1)"/>
      <w:numFmt w:val="lowerLetter"/>
      <w:start w:val="1"/>
    </w:lvl>
  </w:abstractNum>
  <w:abstractNum w:abstractNumId="144">
    <w:nsid w:val="DCDF8F6"/>
    <w:multiLevelType w:val="hybridMultilevel"/>
    <w:lvl w:ilvl="0">
      <w:lvlJc w:val="left"/>
      <w:lvlText w:val="(%1)"/>
      <w:numFmt w:val="lowerLetter"/>
      <w:start w:val="3"/>
    </w:lvl>
  </w:abstractNum>
  <w:abstractNum w:abstractNumId="145">
    <w:nsid w:val="52D7B105"/>
    <w:multiLevelType w:val="hybridMultilevel"/>
    <w:lvl w:ilvl="0">
      <w:lvlJc w:val="left"/>
      <w:lvlText w:val="%1."/>
      <w:numFmt w:val="decimal"/>
      <w:start w:val="10"/>
    </w:lvl>
    <w:lvl w:ilvl="1">
      <w:lvlJc w:val="left"/>
      <w:lvlText w:val="*"/>
      <w:numFmt w:val="bullet"/>
      <w:start w:val="1"/>
    </w:lvl>
  </w:abstractNum>
  <w:abstractNum w:abstractNumId="146">
    <w:nsid w:val="2E8A6394"/>
    <w:multiLevelType w:val="hybridMultilevel"/>
    <w:lvl w:ilvl="0">
      <w:lvlJc w:val="left"/>
      <w:lvlText w:val="(%1)"/>
      <w:numFmt w:val="lowerLetter"/>
      <w:start w:val="1"/>
    </w:lvl>
  </w:abstractNum>
  <w:abstractNum w:abstractNumId="147">
    <w:nsid w:val="24E60401"/>
    <w:multiLevelType w:val="hybridMultilevel"/>
    <w:lvl w:ilvl="0">
      <w:lvlJc w:val="left"/>
      <w:lvlText w:val="%1."/>
      <w:numFmt w:val="decimal"/>
      <w:start w:val="1"/>
    </w:lvl>
  </w:abstractNum>
  <w:abstractNum w:abstractNumId="148">
    <w:nsid w:val="2A6AD9BE"/>
    <w:multiLevelType w:val="hybridMultilevel"/>
    <w:lvl w:ilvl="0">
      <w:lvlJc w:val="left"/>
      <w:lvlText w:val="%1."/>
      <w:numFmt w:val="decimal"/>
      <w:start w:val="3"/>
    </w:lvl>
  </w:abstractNum>
  <w:abstractNum w:abstractNumId="149">
    <w:nsid w:val="BAAC1B4"/>
    <w:multiLevelType w:val="hybridMultilevel"/>
    <w:lvl w:ilvl="0">
      <w:lvlJc w:val="left"/>
      <w:lvlText w:val="%1."/>
      <w:numFmt w:val="decimal"/>
      <w:start w:val="6"/>
    </w:lvl>
  </w:abstractNum>
  <w:abstractNum w:abstractNumId="150">
    <w:nsid w:val="36B2ACBC"/>
    <w:multiLevelType w:val="hybridMultilevel"/>
    <w:lvl w:ilvl="0">
      <w:lvlJc w:val="left"/>
      <w:lvlText w:val="(%1)"/>
      <w:numFmt w:val="lowerLetter"/>
      <w:start w:val="1"/>
    </w:lvl>
  </w:abstractNum>
  <w:abstractNum w:abstractNumId="151">
    <w:nsid w:val="779D8544"/>
    <w:multiLevelType w:val="hybridMultilevel"/>
    <w:lvl w:ilvl="0">
      <w:lvlJc w:val="left"/>
      <w:lvlText w:val="(%1)"/>
      <w:numFmt w:val="lowerLetter"/>
      <w:start w:val="3"/>
    </w:lvl>
  </w:abstractNum>
  <w:abstractNum w:abstractNumId="152">
    <w:nsid w:val="4AB26E78"/>
    <w:multiLevelType w:val="hybridMultilevel"/>
    <w:lvl w:ilvl="0">
      <w:lvlJc w:val="left"/>
      <w:lvlText w:val="%1."/>
      <w:numFmt w:val="decimal"/>
      <w:start w:val="8"/>
    </w:lvl>
  </w:abstractNum>
  <w:abstractNum w:abstractNumId="153">
    <w:nsid w:val="21FAA2FA"/>
    <w:multiLevelType w:val="hybridMultilevel"/>
    <w:lvl w:ilvl="0">
      <w:lvlJc w:val="left"/>
      <w:lvlText w:val="(%1)"/>
      <w:numFmt w:val="lowerLetter"/>
      <w:start w:val="1"/>
    </w:lvl>
  </w:abstractNum>
  <w:abstractNum w:abstractNumId="154">
    <w:nsid w:val="5451CF49"/>
    <w:multiLevelType w:val="hybridMultilevel"/>
    <w:lvl w:ilvl="0">
      <w:lvlJc w:val="left"/>
      <w:lvlText w:val="%1."/>
      <w:numFmt w:val="decimal"/>
      <w:start w:val="10"/>
    </w:lvl>
    <w:lvl w:ilvl="1">
      <w:lvlJc w:val="left"/>
      <w:lvlText w:val="*"/>
      <w:numFmt w:val="bullet"/>
      <w:start w:val="1"/>
    </w:lvl>
  </w:abstractNum>
  <w:abstractNum w:abstractNumId="155">
    <w:nsid w:val="6181EF69"/>
    <w:multiLevelType w:val="hybridMultilevel"/>
    <w:lvl w:ilvl="0">
      <w:lvlJc w:val="left"/>
      <w:lvlText w:val="(%1)"/>
      <w:numFmt w:val="lowerLetter"/>
      <w:start w:val="1"/>
    </w:lvl>
  </w:abstractNum>
  <w:abstractNum w:abstractNumId="156">
    <w:nsid w:val="3E6400E6"/>
    <w:multiLevelType w:val="hybridMultilevel"/>
    <w:lvl w:ilvl="0">
      <w:lvlJc w:val="left"/>
      <w:lvlText w:val="%1."/>
      <w:numFmt w:val="decimal"/>
      <w:start w:val="1"/>
    </w:lvl>
  </w:abstractNum>
  <w:abstractNum w:abstractNumId="157">
    <w:nsid w:val="14217E23"/>
    <w:multiLevelType w:val="hybridMultilevel"/>
    <w:lvl w:ilvl="0">
      <w:lvlJc w:val="left"/>
      <w:lvlText w:val="%1."/>
      <w:numFmt w:val="decimal"/>
      <w:start w:val="3"/>
    </w:lvl>
  </w:abstractNum>
  <w:abstractNum w:abstractNumId="158">
    <w:nsid w:val="710757D0"/>
    <w:multiLevelType w:val="hybridMultilevel"/>
    <w:lvl w:ilvl="0">
      <w:lvlJc w:val="left"/>
      <w:lvlText w:val="%1."/>
      <w:numFmt w:val="decimal"/>
      <w:start w:val="6"/>
    </w:lvl>
  </w:abstractNum>
  <w:abstractNum w:abstractNumId="159">
    <w:nsid w:val="5015CD1A"/>
    <w:multiLevelType w:val="hybridMultilevel"/>
    <w:lvl w:ilvl="0">
      <w:lvlJc w:val="left"/>
      <w:lvlText w:val="(%1)"/>
      <w:numFmt w:val="lowerLetter"/>
      <w:start w:val="1"/>
    </w:lvl>
  </w:abstractNum>
  <w:abstractNum w:abstractNumId="160">
    <w:nsid w:val="424479DA"/>
    <w:multiLevelType w:val="hybridMultilevel"/>
    <w:lvl w:ilvl="0">
      <w:lvlJc w:val="left"/>
      <w:lvlText w:val="(%1)"/>
      <w:numFmt w:val="lowerLetter"/>
      <w:start w:val="3"/>
    </w:lvl>
  </w:abstractNum>
  <w:abstractNum w:abstractNumId="161">
    <w:nsid w:val="1A9A9E69"/>
    <w:multiLevelType w:val="hybridMultilevel"/>
    <w:lvl w:ilvl="0">
      <w:lvlJc w:val="left"/>
      <w:lvlText w:val="%1."/>
      <w:numFmt w:val="decimal"/>
      <w:start w:val="8"/>
    </w:lvl>
  </w:abstractNum>
  <w:abstractNum w:abstractNumId="162">
    <w:nsid w:val="475E256A"/>
    <w:multiLevelType w:val="hybridMultilevel"/>
    <w:lvl w:ilvl="0">
      <w:lvlJc w:val="left"/>
      <w:lvlText w:val="(%1)"/>
      <w:numFmt w:val="lowerLetter"/>
      <w:start w:val="1"/>
    </w:lvl>
  </w:abstractNum>
  <w:abstractNum w:abstractNumId="163">
    <w:nsid w:val="368DB37E"/>
    <w:multiLevelType w:val="hybridMultilevel"/>
    <w:lvl w:ilvl="0">
      <w:lvlJc w:val="left"/>
      <w:lvlText w:val="%1."/>
      <w:numFmt w:val="decimal"/>
      <w:start w:val="10"/>
    </w:lvl>
    <w:lvl w:ilvl="1">
      <w:lvlJc w:val="left"/>
      <w:lvlText w:val="*"/>
      <w:numFmt w:val="bullet"/>
      <w:start w:val="1"/>
    </w:lvl>
  </w:abstractNum>
  <w:abstractNum w:abstractNumId="164">
    <w:nsid w:val="6A3B714C"/>
    <w:multiLevelType w:val="hybridMultilevel"/>
    <w:lvl w:ilvl="0">
      <w:lvlJc w:val="left"/>
      <w:lvlText w:val="(%1)"/>
      <w:numFmt w:val="lowerLetter"/>
      <w:start w:val="1"/>
    </w:lvl>
  </w:abstractNum>
  <w:abstractNum w:abstractNumId="165">
    <w:nsid w:val="327B517E"/>
    <w:multiLevelType w:val="hybridMultilevel"/>
    <w:lvl w:ilvl="0">
      <w:lvlJc w:val="left"/>
      <w:lvlText w:val="(%1)"/>
      <w:numFmt w:val="lowerRoman"/>
      <w:start w:val="2"/>
    </w:lvl>
  </w:abstractNum>
  <w:abstractNum w:abstractNumId="166">
    <w:nsid w:val="1F461B51"/>
    <w:multiLevelType w:val="hybridMultilevel"/>
    <w:lvl w:ilvl="0">
      <w:lvlJc w:val="left"/>
      <w:lvlText w:val="(%1)"/>
      <w:numFmt w:val="lowerLetter"/>
      <w:start w:val="1"/>
    </w:lvl>
  </w:abstractNum>
  <w:abstractNum w:abstractNumId="167">
    <w:nsid w:val="29BACF25"/>
    <w:multiLevelType w:val="hybridMultilevel"/>
    <w:lvl w:ilvl="0">
      <w:lvlJc w:val="left"/>
      <w:lvlText w:val="(%1)"/>
      <w:numFmt w:val="lowerLetter"/>
      <w:start w:val="3"/>
    </w:lvl>
  </w:abstractNum>
  <w:abstractNum w:abstractNumId="168">
    <w:nsid w:val="5D5BABB3"/>
    <w:multiLevelType w:val="hybridMultilevel"/>
    <w:lvl w:ilvl="0">
      <w:lvlJc w:val="left"/>
      <w:lvlText w:val="(%1)"/>
      <w:numFmt w:val="lowerLetter"/>
      <w:start w:val="1"/>
    </w:lvl>
  </w:abstractNum>
  <w:abstractNum w:abstractNumId="169">
    <w:nsid w:val="51BF6B48"/>
    <w:multiLevelType w:val="hybridMultilevel"/>
    <w:lvl w:ilvl="0">
      <w:lvlJc w:val="left"/>
      <w:lvlText w:val="(%1)"/>
      <w:numFmt w:val="lowerLetter"/>
      <w:start w:val="3"/>
    </w:lvl>
  </w:abstractNum>
  <w:abstractNum w:abstractNumId="170">
    <w:nsid w:val="7E0F6384"/>
    <w:multiLevelType w:val="hybridMultilevel"/>
    <w:lvl w:ilvl="0">
      <w:lvlJc w:val="left"/>
      <w:lvlText w:val="(%1)"/>
      <w:numFmt w:val="lowerLetter"/>
      <w:start w:val="1"/>
    </w:lvl>
  </w:abstractNum>
  <w:abstractNum w:abstractNumId="171">
    <w:nsid w:val="2B4B8B53"/>
    <w:multiLevelType w:val="hybridMultilevel"/>
    <w:lvl w:ilvl="0">
      <w:lvlJc w:val="left"/>
      <w:lvlText w:val="%1"/>
      <w:numFmt w:val="lowerRoman"/>
      <w:start w:val="1"/>
    </w:lvl>
    <w:lvl w:ilvl="1">
      <w:lvlJc w:val="left"/>
      <w:lvlText w:val="(%2)"/>
      <w:numFmt w:val="lowerLetter"/>
      <w:start w:val="2"/>
    </w:lvl>
  </w:abstractNum>
  <w:abstractNum w:abstractNumId="172">
    <w:nsid w:val="72E3413A"/>
    <w:multiLevelType w:val="hybridMultilevel"/>
    <w:lvl w:ilvl="0">
      <w:lvlJc w:val="left"/>
      <w:lvlText w:val="(%1)"/>
      <w:numFmt w:val="lowerRoman"/>
      <w:start w:val="6"/>
    </w:lvl>
    <w:lvl w:ilvl="1">
      <w:lvlJc w:val="left"/>
      <w:lvlText w:val="%2"/>
      <w:numFmt w:val="lowerLetter"/>
      <w:start w:val="1"/>
    </w:lvl>
  </w:abstractNum>
  <w:abstractNum w:abstractNumId="173">
    <w:nsid w:val="116AE494"/>
    <w:multiLevelType w:val="hybridMultilevel"/>
    <w:lvl w:ilvl="0">
      <w:lvlJc w:val="left"/>
      <w:lvlText w:val="%1"/>
      <w:numFmt w:val="lowerLetter"/>
      <w:start w:val="1"/>
    </w:lvl>
    <w:lvl w:ilvl="1">
      <w:lvlJc w:val="left"/>
      <w:lvlText w:val="(%2)"/>
      <w:numFmt w:val="lowerLetter"/>
      <w:start w:val="1"/>
    </w:lvl>
  </w:abstractNum>
  <w:abstractNum w:abstractNumId="174">
    <w:nsid w:val="3494B2FB"/>
    <w:multiLevelType w:val="hybridMultilevel"/>
    <w:lvl w:ilvl="0">
      <w:lvlJc w:val="left"/>
      <w:lvlText w:val="(%1)"/>
      <w:numFmt w:val="lowerLetter"/>
      <w:start w:val="61"/>
    </w:lvl>
    <w:lvl w:ilvl="1">
      <w:lvlJc w:val="left"/>
      <w:lvlText w:val="%2"/>
      <w:numFmt w:val="lowerLetter"/>
      <w:start w:val="1"/>
    </w:lvl>
  </w:abstractNum>
  <w:abstractNum w:abstractNumId="175">
    <w:nsid w:val="B13A31"/>
    <w:multiLevelType w:val="hybridMultilevel"/>
    <w:lvl w:ilvl="0">
      <w:lvlJc w:val="left"/>
      <w:lvlText w:val="•"/>
      <w:numFmt w:val="bullet"/>
      <w:start w:val="1"/>
    </w:lvl>
  </w:abstractNum>
  <w:abstractNum w:abstractNumId="176">
    <w:nsid w:val="64429599"/>
    <w:multiLevelType w:val="hybridMultilevel"/>
    <w:lvl w:ilvl="0">
      <w:lvlJc w:val="left"/>
      <w:lvlText w:val="(%1)"/>
      <w:numFmt w:val="upperLetter"/>
      <w:start w:val="1"/>
    </w:lvl>
  </w:abstractNum>
  <w:abstractNum w:abstractNumId="177">
    <w:nsid w:val="631F1690"/>
    <w:multiLevelType w:val="hybridMultilevel"/>
    <w:lvl w:ilvl="0">
      <w:lvlJc w:val="left"/>
      <w:lvlText w:val="(%1)"/>
      <w:numFmt w:val="lowerRoman"/>
      <w:start w:val="2"/>
    </w:lvl>
  </w:abstractNum>
  <w:abstractNum w:abstractNumId="178">
    <w:nsid w:val="25973E32"/>
    <w:multiLevelType w:val="hybridMultilevel"/>
    <w:lvl w:ilvl="0">
      <w:lvlJc w:val="left"/>
      <w:lvlText w:val="(%1)"/>
      <w:numFmt w:val="lowerRoman"/>
      <w:start w:val="1"/>
    </w:lvl>
    <w:lvl w:ilvl="1">
      <w:lvlJc w:val="left"/>
      <w:lvlText w:val="(%2)"/>
      <w:numFmt w:val="decimal"/>
      <w:start w:val="20"/>
    </w:lvl>
  </w:abstractNum>
  <w:abstractNum w:abstractNumId="179">
    <w:nsid w:val="EAD6F57"/>
    <w:multiLevelType w:val="hybridMultilevel"/>
    <w:lvl w:ilvl="0">
      <w:lvlJc w:val="left"/>
      <w:lvlText w:val="(%1)"/>
      <w:numFmt w:val="lowerRoman"/>
      <w:start w:val="2"/>
    </w:lvl>
  </w:abstractNum>
  <w:abstractNum w:abstractNumId="180">
    <w:nsid w:val="6EC9D844"/>
    <w:multiLevelType w:val="hybridMultilevel"/>
    <w:lvl w:ilvl="0">
      <w:lvlJc w:val="left"/>
      <w:lvlText w:val="•"/>
      <w:numFmt w:val="bullet"/>
      <w:start w:val="1"/>
    </w:lvl>
  </w:abstractNum>
  <w:abstractNum w:abstractNumId="181">
    <w:nsid w:val="5C49EAEE"/>
    <w:multiLevelType w:val="hybridMultilevel"/>
    <w:lvl w:ilvl="0">
      <w:lvlJc w:val="left"/>
      <w:lvlText w:val="•"/>
      <w:numFmt w:val="bullet"/>
      <w:start w:val="1"/>
    </w:lvl>
  </w:abstractNum>
  <w:abstractNum w:abstractNumId="182">
    <w:nsid w:val="64AF49B"/>
    <w:multiLevelType w:val="hybridMultilevel"/>
    <w:lvl w:ilvl="0">
      <w:lvlJc w:val="left"/>
      <w:lvlText w:val="•"/>
      <w:numFmt w:val="bullet"/>
      <w:start w:val="1"/>
    </w:lvl>
  </w:abstractNum>
  <w:abstractNum w:abstractNumId="183">
    <w:nsid w:val="397C46BC"/>
    <w:multiLevelType w:val="hybridMultilevel"/>
    <w:lvl w:ilvl="0">
      <w:lvlJc w:val="left"/>
      <w:lvlText w:val="(%1)"/>
      <w:numFmt w:val="decimal"/>
      <w:start w:val="1"/>
    </w:lvl>
  </w:abstractNum>
  <w:abstractNum w:abstractNumId="184">
    <w:nsid w:val="7E448DE9"/>
    <w:multiLevelType w:val="hybridMultilevel"/>
    <w:lvl w:ilvl="0">
      <w:lvlJc w:val="left"/>
      <w:lvlText w:val="(%1)"/>
      <w:numFmt w:val="decimal"/>
      <w:start w:val="2"/>
    </w:lvl>
  </w:abstractNum>
  <w:abstractNum w:abstractNumId="185">
    <w:nsid w:val="5A9CC3E5"/>
    <w:multiLevelType w:val="hybridMultilevel"/>
    <w:lvl w:ilvl="0">
      <w:lvlJc w:val="left"/>
      <w:lvlText w:val="•"/>
      <w:numFmt w:val="bullet"/>
      <w:start w:val="1"/>
    </w:lvl>
  </w:abstractNum>
  <w:abstractNum w:abstractNumId="186">
    <w:nsid w:val="1AFE3625"/>
    <w:multiLevelType w:val="hybridMultilevel"/>
    <w:lvl w:ilvl="0">
      <w:lvlJc w:val="left"/>
      <w:lvlText w:val="(%1)"/>
      <w:numFmt w:val="decimal"/>
      <w:start w:val="1"/>
    </w:lvl>
  </w:abstractNum>
  <w:abstractNum w:abstractNumId="187">
    <w:nsid w:val="3CA88ECF"/>
    <w:multiLevelType w:val="hybridMultilevel"/>
    <w:lvl w:ilvl="0">
      <w:lvlJc w:val="left"/>
      <w:lvlText w:val="(%1)"/>
      <w:numFmt w:val="decimal"/>
      <w:start w:val="4"/>
    </w:lvl>
  </w:abstractNum>
  <w:abstractNum w:abstractNumId="188">
    <w:nsid w:val="6EBE4208"/>
    <w:multiLevelType w:val="hybridMultilevel"/>
    <w:lvl w:ilvl="0">
      <w:lvlJc w:val="left"/>
      <w:lvlText w:val="(%1)"/>
      <w:numFmt w:val="upperLetter"/>
      <w:start w:val="2"/>
    </w:lvl>
  </w:abstractNum>
  <w:abstractNum w:abstractNumId="189">
    <w:nsid w:val="C058DF5"/>
    <w:multiLevelType w:val="hybridMultilevel"/>
    <w:lvl w:ilvl="0">
      <w:lvlJc w:val="left"/>
      <w:lvlText w:val="(%1)"/>
      <w:numFmt w:val="decimal"/>
      <w:start w:val="1"/>
    </w:lvl>
  </w:abstractNum>
  <w:abstractNum w:abstractNumId="190">
    <w:nsid w:val="CBE5BE9"/>
    <w:multiLevelType w:val="hybridMultilevel"/>
    <w:lvl w:ilvl="0">
      <w:lvlJc w:val="left"/>
      <w:lvlText w:val="(%1)"/>
      <w:numFmt w:val="upperLetter"/>
      <w:start w:val="7"/>
    </w:lvl>
  </w:abstractNum>
  <w:abstractNum w:abstractNumId="191">
    <w:nsid w:val="3102BBE2"/>
    <w:multiLevelType w:val="hybridMultilevel"/>
    <w:lvl w:ilvl="0">
      <w:lvlJc w:val="left"/>
      <w:lvlText w:val="(%1)"/>
      <w:numFmt w:val="decimal"/>
      <w:start w:val="1"/>
    </w:lvl>
  </w:abstractNum>
  <w:abstractNum w:abstractNumId="192">
    <w:nsid w:val="26A02C5E"/>
    <w:multiLevelType w:val="hybridMultilevel"/>
    <w:lvl w:ilvl="0">
      <w:lvlJc w:val="left"/>
      <w:lvlText w:val="(%1)"/>
      <w:numFmt w:val="decimal"/>
      <w:start w:val="1"/>
    </w:lvl>
  </w:abstractNum>
  <w:abstractNum w:abstractNumId="193">
    <w:nsid w:val="541C8153"/>
    <w:multiLevelType w:val="hybridMultilevel"/>
    <w:lvl w:ilvl="0">
      <w:lvlJc w:val="left"/>
      <w:lvlText w:val="(%1)"/>
      <w:numFmt w:val="upperLetter"/>
      <w:start w:val="9"/>
    </w:lvl>
  </w:abstractNum>
  <w:abstractNum w:abstractNumId="194">
    <w:nsid w:val="67906F60"/>
    <w:multiLevelType w:val="hybridMultilevel"/>
    <w:lvl w:ilvl="0">
      <w:lvlJc w:val="left"/>
      <w:lvlText w:val="(%1)"/>
      <w:numFmt w:val="upperLetter"/>
      <w:start w:val="11"/>
    </w:lvl>
  </w:abstractNum>
  <w:abstractNum w:abstractNumId="195">
    <w:nsid w:val="10DB9DAA"/>
    <w:multiLevelType w:val="hybridMultilevel"/>
    <w:lvl w:ilvl="0">
      <w:lvlJc w:val="left"/>
      <w:lvlText w:val="(%1)"/>
      <w:numFmt w:val="upperLetter"/>
      <w:start w:val="17"/>
    </w:lvl>
  </w:abstractNum>
  <w:abstractNum w:abstractNumId="196">
    <w:nsid w:val="697D2D2"/>
    <w:multiLevelType w:val="hybridMultilevel"/>
    <w:lvl w:ilvl="0">
      <w:lvlJc w:val="left"/>
      <w:lvlText w:val="(%1)"/>
      <w:numFmt w:val="upperLetter"/>
      <w:start w:val="28"/>
    </w:lvl>
  </w:abstractNum>
  <w:abstractNum w:abstractNumId="197">
    <w:nsid w:val="6D68A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7"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jpeg"/><Relationship Id="rId36" Type="http://schemas.openxmlformats.org/officeDocument/2006/relationships/hyperlink" Target="http://www.sec.gov/Archives/edgar/data/2048951/000121390025110418/ea026558201ex2-1_liveoak5.htm" TargetMode="External"/><Relationship Id="rId37" Type="http://schemas.openxmlformats.org/officeDocument/2006/relationships/hyperlink" Target="http://www.sec.gov/Archives/edgar/data/2048951/000121390026038865/ea028397801ex2-1.htm" TargetMode="External"/><Relationship Id="rId38" Type="http://schemas.openxmlformats.org/officeDocument/2006/relationships/hyperlink" Target="http://www.sec.gov/Archives/edgar/data/2048951/000121390026038865/ea028397801ex10-1.htm" TargetMode="External"/><Relationship Id="rId39" Type="http://schemas.openxmlformats.org/officeDocument/2006/relationships/hyperlink" Target="http://www.sec.gov/Archives/edgar/data/2048951/000121390025019604/ea023270601ex4-1_liveoak5.htm" TargetMode="External"/><Relationship Id="rId40" Type="http://schemas.openxmlformats.org/officeDocument/2006/relationships/hyperlink" Target="http://www.sec.gov/Archives/edgar/data/1783876/000119312526229758/d82890dex1014.htm" TargetMode="External"/><Relationship Id="rId41" Type="http://schemas.openxmlformats.org/officeDocument/2006/relationships/hyperlink" Target="http://www.sec.gov/Archives/edgar/data/2048951/000121390025110418/ea026558201ex10-6_liveoak5.htm" TargetMode="External"/><Relationship Id="rId42" Type="http://schemas.openxmlformats.org/officeDocument/2006/relationships/hyperlink" Target="http://www.sec.gov/Archives/edgar/data/2048951/000121390025110418/ea026558201ex10-2_liveoak5.htm" TargetMode="External"/><Relationship Id="rId43" Type="http://schemas.openxmlformats.org/officeDocument/2006/relationships/hyperlink" Target="http://www.sec.gov/Archives/edgar/data/2048951/000121390025110418/ea026558201ex10-3_liveoak5.htm" TargetMode="External"/><Relationship Id="rId44" Type="http://schemas.openxmlformats.org/officeDocument/2006/relationships/hyperlink" Target="http://www.sec.gov/Archives/edgar/data/2048951/000121390025110418/ea026558201ex10-5_liveoak5.htm" TargetMode="External"/><Relationship Id="rId45" Type="http://schemas.openxmlformats.org/officeDocument/2006/relationships/hyperlink" Target="http://www.sec.gov/Archives/edgar/data/2048951/000121390025110418/ea026558201ex10-1_liveoak5.htm" TargetMode="External"/><Relationship Id="rId46" Type="http://schemas.openxmlformats.org/officeDocument/2006/relationships/hyperlink" Target="http://www.sec.gov/Archives/edgar/data/2048951/000121390025110418/ea026558201ex10-8_liveoak5.htm" TargetMode="External"/><Relationship Id="rId48" Type="http://schemas.openxmlformats.org/officeDocument/2006/relationships/hyperlink" Target="http://www.sec.gov/Archives/edgar/data/2048951/000121390026063827/ea02931780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2026-06-25T18:11:45Z</dcterms:created>
  <dcterms:modified xsi:type="dcterms:W3CDTF">2026-06-25T18:11:45Z</dcterms:modified>
</cp:coreProperties>
</file>